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63"/>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63"/>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295910</wp:posOffset>
            </wp:positionV>
            <wp:extent cx="147447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2"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SCHEDULE 13G</w:t>
      </w:r>
    </w:p>
    <w:p>
      <w:pPr>
        <w:spacing w:after="0" w:line="226"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(Amendment No. 4)*</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304165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9" w:lineRule="exact"/>
        <w:rPr>
          <w:sz w:val="24"/>
          <w:szCs w:val="24"/>
          <w:color w:val="auto"/>
        </w:rPr>
      </w:pPr>
    </w:p>
    <w:p>
      <w:pPr>
        <w:jc w:val="center"/>
        <w:ind w:right="-63"/>
        <w:spacing w:after="0"/>
        <w:rPr>
          <w:sz w:val="20"/>
          <w:szCs w:val="20"/>
          <w:color w:val="auto"/>
        </w:rPr>
      </w:pPr>
      <w:r>
        <w:rPr>
          <w:rFonts w:ascii="Arial" w:cs="Arial" w:eastAsia="Arial" w:hAnsi="Arial"/>
          <w:sz w:val="40"/>
          <w:szCs w:val="40"/>
          <w:b w:val="1"/>
          <w:bCs w:val="1"/>
          <w:color w:val="auto"/>
        </w:rPr>
        <w:t>Cango Inc.</w:t>
      </w:r>
    </w:p>
    <w:p>
      <w:pPr>
        <w:spacing w:after="0" w:line="35"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(Name of Issuer)</w:t>
      </w:r>
    </w:p>
    <w:p>
      <w:pPr>
        <w:spacing w:after="0" w:line="200" w:lineRule="exact"/>
        <w:rPr>
          <w:sz w:val="24"/>
          <w:szCs w:val="24"/>
          <w:color w:val="auto"/>
        </w:rPr>
      </w:pPr>
    </w:p>
    <w:p>
      <w:pPr>
        <w:spacing w:after="0" w:line="221"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Class A Ordinary Shares, par value US$0.0001 per share</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(Title of Class of Securities)</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 xml:space="preserve">137586 103 </w:t>
      </w:r>
      <w:r>
        <w:rPr>
          <w:rFonts w:ascii="Arial" w:cs="Arial" w:eastAsia="Arial" w:hAnsi="Arial"/>
          <w:sz w:val="15"/>
          <w:szCs w:val="15"/>
          <w:b w:val="1"/>
          <w:bCs w:val="1"/>
          <w:color w:val="auto"/>
        </w:rPr>
        <w:t>(1)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(CUSIP Number)</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December 31, 2021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296545</wp:posOffset>
            </wp:positionV>
            <wp:extent cx="147447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ind w:left="4"/>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1204" w:hanging="213"/>
        <w:spacing w:after="0"/>
        <w:tabs>
          <w:tab w:leader="none" w:pos="120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225" w:lineRule="exact"/>
        <w:rPr>
          <w:rFonts w:ascii="MS PGothic" w:cs="MS PGothic" w:eastAsia="MS PGothic" w:hAnsi="MS PGothic"/>
          <w:sz w:val="18"/>
          <w:szCs w:val="18"/>
          <w:color w:val="auto"/>
        </w:rPr>
      </w:pPr>
    </w:p>
    <w:p>
      <w:pPr>
        <w:ind w:left="1204" w:hanging="213"/>
        <w:spacing w:after="0"/>
        <w:tabs>
          <w:tab w:leader="none" w:pos="120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sz w:val="24"/>
          <w:szCs w:val="24"/>
          <w:color w:val="auto"/>
        </w:rPr>
      </w:pPr>
    </w:p>
    <w:p>
      <w:pPr>
        <w:ind w:left="1204" w:hanging="213"/>
        <w:spacing w:after="0"/>
        <w:tabs>
          <w:tab w:leader="none" w:pos="1204"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52" w:lineRule="exact"/>
        <w:rPr>
          <w:rFonts w:ascii="MS PGothic" w:cs="MS PGothic" w:eastAsia="MS PGothic" w:hAnsi="MS PGothic"/>
          <w:sz w:val="18"/>
          <w:szCs w:val="18"/>
          <w:color w:val="auto"/>
        </w:rPr>
      </w:pPr>
    </w:p>
    <w:p>
      <w:pPr>
        <w:ind w:left="424" w:hanging="432"/>
        <w:spacing w:after="0" w:line="308" w:lineRule="auto"/>
        <w:rPr>
          <w:rFonts w:ascii="MS PGothic" w:cs="MS PGothic" w:eastAsia="MS PGothic" w:hAnsi="MS PGothic"/>
          <w:sz w:val="18"/>
          <w:szCs w:val="18"/>
          <w:color w:val="auto"/>
        </w:rPr>
      </w:pPr>
      <w:r>
        <w:rPr>
          <w:rFonts w:ascii="Arial" w:cs="Arial" w:eastAsia="Arial" w:hAnsi="Arial"/>
          <w:sz w:val="18"/>
          <w:szCs w:val="18"/>
          <w:color w:val="auto"/>
        </w:rPr>
        <w:t>*</w:t>
      </w:r>
      <w:r>
        <w:rPr>
          <w:rFonts w:ascii="Arial" w:cs="Arial" w:eastAsia="Arial" w:hAnsi="Arial"/>
          <w:sz w:val="17"/>
          <w:szCs w:val="17"/>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46" w:lineRule="exact"/>
        <w:rPr>
          <w:sz w:val="24"/>
          <w:szCs w:val="24"/>
          <w:color w:val="auto"/>
        </w:rPr>
      </w:pPr>
    </w:p>
    <w:p>
      <w:pPr>
        <w:ind w:left="4" w:right="60"/>
        <w:spacing w:after="0" w:line="263" w:lineRule="auto"/>
        <w:rPr>
          <w:sz w:val="20"/>
          <w:szCs w:val="20"/>
          <w:color w:val="auto"/>
        </w:rPr>
      </w:pPr>
      <w:r>
        <w:rPr>
          <w:rFonts w:ascii="Arial" w:cs="Arial" w:eastAsia="Arial" w:hAnsi="Arial"/>
          <w:sz w:val="18"/>
          <w:szCs w:val="18"/>
          <w:color w:val="auto"/>
        </w:rPr>
        <w:t xml:space="preserve">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w:t>
      </w:r>
      <w:r>
        <w:rPr>
          <w:rFonts w:ascii="Arial" w:cs="Arial" w:eastAsia="Arial" w:hAnsi="Arial"/>
          <w:sz w:val="18"/>
          <w:szCs w:val="18"/>
          <w:i w:val="1"/>
          <w:iCs w:val="1"/>
          <w:color w:val="auto"/>
        </w:rPr>
        <w:t>Notes</w:t>
      </w:r>
      <w:r>
        <w:rPr>
          <w:rFonts w:ascii="Arial" w:cs="Arial" w:eastAsia="Arial" w:hAnsi="Arial"/>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74295</wp:posOffset>
            </wp:positionV>
            <wp:extent cx="77152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71525" cy="8255"/>
                    </a:xfrm>
                    <a:prstGeom prst="rect">
                      <a:avLst/>
                    </a:prstGeom>
                    <a:noFill/>
                  </pic:spPr>
                </pic:pic>
              </a:graphicData>
            </a:graphic>
          </wp:anchor>
        </w:drawing>
      </w:r>
    </w:p>
    <w:p>
      <w:pPr>
        <w:spacing w:after="0" w:line="137" w:lineRule="exact"/>
        <w:rPr>
          <w:sz w:val="24"/>
          <w:szCs w:val="24"/>
          <w:color w:val="auto"/>
        </w:rPr>
      </w:pPr>
    </w:p>
    <w:p>
      <w:pPr>
        <w:ind w:left="424" w:hanging="424"/>
        <w:spacing w:after="0"/>
        <w:tabs>
          <w:tab w:leader="none" w:pos="424" w:val="left"/>
        </w:tabs>
        <w:numPr>
          <w:ilvl w:val="0"/>
          <w:numId w:val="3"/>
        </w:numPr>
        <w:rPr>
          <w:rFonts w:ascii="Arial" w:cs="Arial" w:eastAsia="Arial" w:hAnsi="Arial"/>
          <w:sz w:val="18"/>
          <w:szCs w:val="18"/>
          <w:color w:val="auto"/>
        </w:rPr>
      </w:pPr>
      <w:r>
        <w:rPr>
          <w:rFonts w:ascii="Arial" w:cs="Arial" w:eastAsia="Arial" w:hAnsi="Arial"/>
          <w:sz w:val="18"/>
          <w:szCs w:val="18"/>
          <w:color w:val="auto"/>
        </w:rPr>
        <w:t>This CUSIP number applies to the Issuer’s American Depositary Shares (“ADSs”), each representing two Class A ordinary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177800</wp:posOffset>
            </wp:positionV>
            <wp:extent cx="699516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99516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220345</wp:posOffset>
            </wp:positionV>
            <wp:extent cx="699516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995160" cy="8890"/>
                    </a:xfrm>
                    <a:prstGeom prst="rect">
                      <a:avLst/>
                    </a:prstGeom>
                    <a:noFill/>
                  </pic:spPr>
                </pic:pic>
              </a:graphicData>
            </a:graphic>
          </wp:anchor>
        </w:drawing>
      </w:r>
    </w:p>
    <w:p>
      <w:pPr>
        <w:sectPr>
          <w:pgSz w:w="11900" w:h="16838" w:orient="portrait"/>
          <w:cols w:equalWidth="0" w:num="1">
            <w:col w:w="10944"/>
          </w:cols>
          <w:pgMar w:left="436" w:top="517" w:right="519" w:bottom="1440" w:gutter="0" w:footer="0" w:header="0"/>
        </w:sectPr>
      </w:pPr>
    </w:p>
    <w:bookmarkStart w:id="1" w:name="page2"/>
    <w:bookmarkEnd w:id="1"/>
    <w:p>
      <w:pPr>
        <w:jc w:val="center"/>
        <w:ind w:right="-23"/>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SCHEDULE 13G</w:t>
      </w:r>
    </w:p>
    <w:p>
      <w:pPr>
        <w:spacing w:after="0" w:line="131" w:lineRule="exact"/>
        <w:rPr>
          <w:sz w:val="20"/>
          <w:szCs w:val="20"/>
          <w:color w:val="auto"/>
        </w:rPr>
      </w:pPr>
    </w:p>
    <w:p>
      <w:pPr>
        <w:ind w:left="4"/>
        <w:spacing w:after="0"/>
        <w:rPr>
          <w:sz w:val="20"/>
          <w:szCs w:val="20"/>
          <w:color w:val="auto"/>
        </w:rPr>
      </w:pPr>
      <w:r>
        <w:rPr>
          <w:rFonts w:ascii="Arial" w:cs="Arial" w:eastAsia="Arial" w:hAnsi="Arial"/>
          <w:sz w:val="18"/>
          <w:szCs w:val="18"/>
          <w:color w:val="auto"/>
        </w:rPr>
        <w:t>CUSIP No. 137586 103</w:t>
      </w:r>
    </w:p>
    <w:p>
      <w:pPr>
        <w:spacing w:after="0" w:line="144" w:lineRule="exact"/>
        <w:rPr>
          <w:sz w:val="20"/>
          <w:szCs w:val="20"/>
          <w:color w:val="auto"/>
        </w:rPr>
      </w:pPr>
    </w:p>
    <w:p>
      <w:pPr>
        <w:ind w:left="624" w:hanging="377"/>
        <w:spacing w:after="0"/>
        <w:tabs>
          <w:tab w:leader="none" w:pos="624" w:val="left"/>
        </w:tabs>
        <w:numPr>
          <w:ilvl w:val="0"/>
          <w:numId w:val="4"/>
        </w:numPr>
        <w:rPr>
          <w:rFonts w:ascii="Arial" w:cs="Arial" w:eastAsia="Arial" w:hAnsi="Arial"/>
          <w:sz w:val="18"/>
          <w:szCs w:val="18"/>
          <w:color w:val="auto"/>
        </w:rPr>
      </w:pPr>
      <w:r>
        <w:rPr>
          <w:rFonts w:ascii="Arial" w:cs="Arial" w:eastAsia="Arial" w:hAnsi="Arial"/>
          <w:sz w:val="18"/>
          <w:szCs w:val="18"/>
          <w:color w:val="auto"/>
        </w:rPr>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1517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60870" cy="5151755"/>
                    </a:xfrm>
                    <a:prstGeom prst="rect">
                      <a:avLst/>
                    </a:prstGeom>
                    <a:noFill/>
                  </pic:spPr>
                </pic:pic>
              </a:graphicData>
            </a:graphic>
          </wp:anchor>
        </w:drawing>
      </w:r>
    </w:p>
    <w:p>
      <w:pPr>
        <w:spacing w:after="0" w:line="205" w:lineRule="exact"/>
        <w:rPr>
          <w:sz w:val="20"/>
          <w:szCs w:val="20"/>
          <w:color w:val="auto"/>
        </w:rPr>
      </w:pPr>
    </w:p>
    <w:p>
      <w:pPr>
        <w:ind w:left="624"/>
        <w:spacing w:after="0"/>
        <w:rPr>
          <w:sz w:val="20"/>
          <w:szCs w:val="20"/>
          <w:color w:val="auto"/>
        </w:rPr>
      </w:pPr>
      <w:r>
        <w:rPr>
          <w:rFonts w:ascii="Arial" w:cs="Arial" w:eastAsia="Arial" w:hAnsi="Arial"/>
          <w:sz w:val="18"/>
          <w:szCs w:val="18"/>
          <w:color w:val="auto"/>
        </w:rPr>
        <w:t>Jiayuan Lin</w:t>
      </w:r>
    </w:p>
    <w:p>
      <w:pPr>
        <w:spacing w:after="0" w:line="36" w:lineRule="exact"/>
        <w:rPr>
          <w:sz w:val="20"/>
          <w:szCs w:val="20"/>
          <w:color w:val="auto"/>
        </w:rPr>
      </w:pPr>
    </w:p>
    <w:p>
      <w:pPr>
        <w:ind w:left="624" w:hanging="377"/>
        <w:spacing w:after="0"/>
        <w:tabs>
          <w:tab w:leader="none" w:pos="624"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43" w:lineRule="exact"/>
        <w:rPr>
          <w:sz w:val="20"/>
          <w:szCs w:val="20"/>
          <w:color w:val="auto"/>
        </w:rPr>
      </w:pPr>
    </w:p>
    <w:p>
      <w:pPr>
        <w:ind w:left="624" w:hanging="377"/>
        <w:spacing w:after="0"/>
        <w:tabs>
          <w:tab w:leader="none" w:pos="624"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52" w:lineRule="exact"/>
        <w:rPr>
          <w:sz w:val="20"/>
          <w:szCs w:val="20"/>
          <w:color w:val="auto"/>
        </w:rPr>
      </w:pPr>
    </w:p>
    <w:p>
      <w:pPr>
        <w:ind w:left="624" w:hanging="377"/>
        <w:spacing w:after="0"/>
        <w:tabs>
          <w:tab w:leader="none" w:pos="624" w:val="left"/>
        </w:tabs>
        <w:numPr>
          <w:ilvl w:val="0"/>
          <w:numId w:val="7"/>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25"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People’s Republic of China</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25"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39,948,545</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09"/>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39,948,545</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41"/>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3"/>
                <w:szCs w:val="3"/>
                <w:color w:val="auto"/>
              </w:rPr>
            </w:pPr>
          </w:p>
        </w:tc>
        <w:tc>
          <w:tcPr>
            <w:tcW w:w="950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4"/>
        </w:trPr>
        <w:tc>
          <w:tcPr>
            <w:tcW w:w="920" w:type="dxa"/>
            <w:vAlign w:val="bottom"/>
            <w:vMerge w:val="continue"/>
          </w:tcPr>
          <w:p>
            <w:pPr>
              <w:spacing w:after="0"/>
              <w:rPr>
                <w:sz w:val="19"/>
                <w:szCs w:val="19"/>
                <w:color w:val="auto"/>
              </w:rPr>
            </w:pP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8"/>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25"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39,948,545</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9"/>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192"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9"/>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17" w:lineRule="exact"/>
        <w:rPr>
          <w:rFonts w:ascii="Arial" w:cs="Arial" w:eastAsia="Arial" w:hAnsi="Arial"/>
          <w:sz w:val="18"/>
          <w:szCs w:val="18"/>
          <w:color w:val="auto"/>
        </w:rPr>
      </w:pPr>
    </w:p>
    <w:p>
      <w:pPr>
        <w:jc w:val="both"/>
        <w:ind w:left="624" w:right="140"/>
        <w:spacing w:after="0" w:line="299" w:lineRule="auto"/>
        <w:rPr>
          <w:rFonts w:ascii="Arial" w:cs="Arial" w:eastAsia="Arial" w:hAnsi="Arial"/>
          <w:sz w:val="18"/>
          <w:szCs w:val="18"/>
          <w:color w:val="auto"/>
        </w:rPr>
      </w:pPr>
      <w:r>
        <w:rPr>
          <w:rFonts w:ascii="Arial" w:cs="Arial" w:eastAsia="Arial" w:hAnsi="Arial"/>
          <w:sz w:val="16"/>
          <w:szCs w:val="16"/>
          <w:color w:val="auto"/>
        </w:rPr>
        <w:t>15.0% of Class A ordinary shares assuming conversion of the Class B ordinary shares held by the reporting person only into Class A ordinary shares.</w:t>
      </w:r>
      <w:r>
        <w:rPr>
          <w:rFonts w:ascii="Arial" w:cs="Arial" w:eastAsia="Arial" w:hAnsi="Arial"/>
          <w:sz w:val="13"/>
          <w:szCs w:val="13"/>
          <w:color w:val="auto"/>
        </w:rPr>
        <w:t>(2)</w:t>
      </w:r>
      <w:r>
        <w:rPr>
          <w:rFonts w:ascii="Arial" w:cs="Arial" w:eastAsia="Arial" w:hAnsi="Arial"/>
          <w:sz w:val="16"/>
          <w:szCs w:val="16"/>
          <w:color w:val="auto"/>
        </w:rPr>
        <w:t xml:space="preserve"> The voting power of the shares beneficially owned by the reporting person represent 41.3% of the total outstanding voting power.</w:t>
      </w:r>
      <w:r>
        <w:rPr>
          <w:rFonts w:ascii="Arial" w:cs="Arial" w:eastAsia="Arial" w:hAnsi="Arial"/>
          <w:sz w:val="13"/>
          <w:szCs w:val="13"/>
          <w:color w:val="auto"/>
        </w:rPr>
        <w:t>(3)</w:t>
      </w:r>
    </w:p>
    <w:p>
      <w:pPr>
        <w:ind w:left="604" w:hanging="447"/>
        <w:spacing w:after="0"/>
        <w:tabs>
          <w:tab w:leader="none" w:pos="604" w:val="left"/>
        </w:tabs>
        <w:numPr>
          <w:ilvl w:val="1"/>
          <w:numId w:val="9"/>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25"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IN</w:t>
      </w:r>
    </w:p>
    <w:p>
      <w:pPr>
        <w:spacing w:after="0" w:line="252" w:lineRule="exact"/>
        <w:rPr>
          <w:rFonts w:ascii="Arial" w:cs="Arial" w:eastAsia="Arial" w:hAnsi="Arial"/>
          <w:sz w:val="18"/>
          <w:szCs w:val="18"/>
          <w:color w:val="auto"/>
        </w:rPr>
      </w:pPr>
    </w:p>
    <w:p>
      <w:pPr>
        <w:ind w:left="424" w:right="80" w:hanging="424"/>
        <w:spacing w:after="0" w:line="254" w:lineRule="auto"/>
        <w:tabs>
          <w:tab w:leader="none" w:pos="424" w:val="left"/>
        </w:tabs>
        <w:numPr>
          <w:ilvl w:val="0"/>
          <w:numId w:val="10"/>
        </w:numPr>
        <w:rPr>
          <w:rFonts w:ascii="Arial" w:cs="Arial" w:eastAsia="Arial" w:hAnsi="Arial"/>
          <w:sz w:val="18"/>
          <w:szCs w:val="18"/>
          <w:color w:val="auto"/>
        </w:rPr>
      </w:pPr>
      <w:r>
        <w:rPr>
          <w:rFonts w:ascii="Arial" w:cs="Arial" w:eastAsia="Arial" w:hAnsi="Arial"/>
          <w:sz w:val="18"/>
          <w:szCs w:val="18"/>
          <w:color w:val="auto"/>
        </w:rPr>
        <w:t>Represents (i) 34,702,890 Class B ordinary shares held by Traveler Enterprise Limited, (ii) 2,741,606 Class A ordinary shares represented by ADSs that are beneficially owned by Traveler Enterprise Limited, (iii) 1 Class A ordinary share held by Medway Brilliant Holding Limited and (iv) 2,504,048 Class A ordinary shares that Mr. Jiayuan Lin has the right to acquire within 60 days after December 31, 2021 pursuant to the terms of the options granted to him under the Issuer’s share incentive plan.</w:t>
      </w:r>
    </w:p>
    <w:p>
      <w:pPr>
        <w:spacing w:after="0" w:line="2" w:lineRule="exact"/>
        <w:rPr>
          <w:rFonts w:ascii="Arial" w:cs="Arial" w:eastAsia="Arial" w:hAnsi="Arial"/>
          <w:sz w:val="18"/>
          <w:szCs w:val="18"/>
          <w:color w:val="auto"/>
        </w:rPr>
      </w:pPr>
    </w:p>
    <w:p>
      <w:pPr>
        <w:ind w:left="424" w:right="40" w:hanging="424"/>
        <w:spacing w:after="0" w:line="250" w:lineRule="auto"/>
        <w:tabs>
          <w:tab w:leader="none" w:pos="424" w:val="left"/>
        </w:tabs>
        <w:numPr>
          <w:ilvl w:val="0"/>
          <w:numId w:val="10"/>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such reporting person is calculated based on (i) 229,831,213 Class A ordinary shares of the Issuer issued and outstanding as of December 31, 2021 and (ii) 34,702,890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60" w:hanging="424"/>
        <w:spacing w:after="0" w:line="292" w:lineRule="auto"/>
        <w:tabs>
          <w:tab w:leader="none" w:pos="424" w:val="left"/>
        </w:tabs>
        <w:numPr>
          <w:ilvl w:val="0"/>
          <w:numId w:val="10"/>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54" w:lineRule="exact"/>
        <w:rPr>
          <w:rFonts w:ascii="Arial" w:cs="Arial" w:eastAsia="Arial" w:hAnsi="Arial"/>
          <w:sz w:val="16"/>
          <w:szCs w:val="16"/>
          <w:color w:val="auto"/>
        </w:rPr>
      </w:pPr>
    </w:p>
    <w:p>
      <w:pPr>
        <w:ind w:left="444"/>
        <w:spacing w:after="0" w:line="259" w:lineRule="auto"/>
        <w:rPr>
          <w:rFonts w:ascii="Arial" w:cs="Arial" w:eastAsia="Arial" w:hAnsi="Arial"/>
          <w:sz w:val="16"/>
          <w:szCs w:val="16"/>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86.7% of the aggregate voting power of the Issuer’s issued and outstanding share capital.</w:t>
      </w:r>
    </w:p>
    <w:p>
      <w:pPr>
        <w:spacing w:after="0" w:line="119" w:lineRule="exact"/>
        <w:rPr>
          <w:sz w:val="20"/>
          <w:szCs w:val="20"/>
          <w:color w:val="auto"/>
        </w:rPr>
      </w:pPr>
    </w:p>
    <w:p>
      <w:pPr>
        <w:jc w:val="center"/>
        <w:ind w:right="-23"/>
        <w:spacing w:after="0"/>
        <w:rPr>
          <w:sz w:val="20"/>
          <w:szCs w:val="20"/>
          <w:color w:val="auto"/>
        </w:rPr>
      </w:pPr>
      <w:r>
        <w:rPr>
          <w:rFonts w:ascii="Arial" w:cs="Arial" w:eastAsia="Arial" w:hAnsi="Arial"/>
          <w:sz w:val="18"/>
          <w:szCs w:val="18"/>
          <w:color w:val="auto"/>
        </w:rPr>
        <w:t>Page 2 of 10</w:t>
      </w:r>
    </w:p>
    <w:p>
      <w:pPr>
        <w:sectPr>
          <w:pgSz w:w="11900" w:h="16838" w:orient="portrait"/>
          <w:cols w:equalWidth="0" w:num="1">
            <w:col w:w="10984"/>
          </w:cols>
          <w:pgMar w:left="436" w:top="274" w:right="479" w:bottom="1440" w:gutter="0" w:footer="0" w:header="0"/>
        </w:sectPr>
      </w:pPr>
    </w:p>
    <w:bookmarkStart w:id="2" w:name="page3"/>
    <w:bookmarkEnd w:id="2"/>
    <w:p>
      <w:pPr>
        <w:ind w:left="624" w:hanging="377"/>
        <w:spacing w:after="0"/>
        <w:tabs>
          <w:tab w:leader="none" w:pos="624" w:val="left"/>
        </w:tabs>
        <w:numPr>
          <w:ilvl w:val="0"/>
          <w:numId w:val="11"/>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100"/>
                    </a:xfrm>
                    <a:prstGeom prst="rect">
                      <a:avLst/>
                    </a:prstGeom>
                    <a:noFill/>
                  </pic:spPr>
                </pic:pic>
              </a:graphicData>
            </a:graphic>
          </wp:anchor>
        </w:drawing>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3574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960870" cy="5357495"/>
                    </a:xfrm>
                    <a:prstGeom prst="rect">
                      <a:avLst/>
                    </a:prstGeom>
                    <a:noFill/>
                  </pic:spPr>
                </pic:pic>
              </a:graphicData>
            </a:graphic>
          </wp:anchor>
        </w:drawing>
      </w:r>
    </w:p>
    <w:p>
      <w:pPr>
        <w:spacing w:after="0" w:line="23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Medway Brilliant Holding Limited</w:t>
      </w:r>
    </w:p>
    <w:p>
      <w:pPr>
        <w:spacing w:after="0" w:line="36" w:lineRule="exact"/>
        <w:rPr>
          <w:sz w:val="20"/>
          <w:szCs w:val="20"/>
          <w:color w:val="auto"/>
        </w:rPr>
      </w:pPr>
    </w:p>
    <w:p>
      <w:pPr>
        <w:ind w:left="624" w:hanging="377"/>
        <w:spacing w:after="0"/>
        <w:tabs>
          <w:tab w:leader="none" w:pos="624" w:val="left"/>
        </w:tabs>
        <w:numPr>
          <w:ilvl w:val="0"/>
          <w:numId w:val="12"/>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1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14"/>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British Virgin Islands</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15"/>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1</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16"/>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16"/>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ind w:left="624" w:right="280"/>
        <w:spacing w:after="0" w:line="266" w:lineRule="auto"/>
        <w:rPr>
          <w:rFonts w:ascii="Arial" w:cs="Arial" w:eastAsia="Arial" w:hAnsi="Arial"/>
          <w:sz w:val="18"/>
          <w:szCs w:val="18"/>
          <w:color w:val="auto"/>
        </w:rPr>
      </w:pPr>
      <w:r>
        <w:rPr>
          <w:rFonts w:ascii="Arial" w:cs="Arial" w:eastAsia="Arial" w:hAnsi="Arial"/>
          <w:sz w:val="18"/>
          <w:szCs w:val="18"/>
          <w:color w:val="auto"/>
        </w:rPr>
        <w:t>Less than 0.1% of Class A ordinary shares.</w:t>
      </w:r>
      <w:r>
        <w:rPr>
          <w:rFonts w:ascii="Arial" w:cs="Arial" w:eastAsia="Arial" w:hAnsi="Arial"/>
          <w:sz w:val="15"/>
          <w:szCs w:val="15"/>
          <w:color w:val="auto"/>
        </w:rPr>
        <w:t>(2)</w:t>
      </w:r>
      <w:r>
        <w:rPr>
          <w:rFonts w:ascii="Arial" w:cs="Arial" w:eastAsia="Arial" w:hAnsi="Arial"/>
          <w:sz w:val="18"/>
          <w:szCs w:val="18"/>
          <w:color w:val="auto"/>
        </w:rPr>
        <w:t xml:space="preserve"> The voting power of the shares beneficially owned by the reporting person represent less than 0.1% of the total outstanding voting power.</w:t>
      </w:r>
      <w:r>
        <w:rPr>
          <w:rFonts w:ascii="Arial" w:cs="Arial" w:eastAsia="Arial" w:hAnsi="Arial"/>
          <w:sz w:val="15"/>
          <w:szCs w:val="15"/>
          <w:color w:val="auto"/>
        </w:rPr>
        <w:t>(3)</w:t>
      </w:r>
    </w:p>
    <w:p>
      <w:pPr>
        <w:ind w:left="604" w:hanging="447"/>
        <w:spacing w:after="0"/>
        <w:tabs>
          <w:tab w:leader="none" w:pos="604" w:val="left"/>
        </w:tabs>
        <w:numPr>
          <w:ilvl w:val="1"/>
          <w:numId w:val="16"/>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CO</w:t>
      </w:r>
    </w:p>
    <w:p>
      <w:pPr>
        <w:spacing w:after="0" w:line="279" w:lineRule="exact"/>
        <w:rPr>
          <w:rFonts w:ascii="Arial" w:cs="Arial" w:eastAsia="Arial" w:hAnsi="Arial"/>
          <w:sz w:val="18"/>
          <w:szCs w:val="18"/>
          <w:color w:val="auto"/>
        </w:rPr>
      </w:pPr>
    </w:p>
    <w:p>
      <w:pPr>
        <w:ind w:left="424" w:right="400" w:hanging="424"/>
        <w:spacing w:after="0" w:line="258" w:lineRule="auto"/>
        <w:tabs>
          <w:tab w:leader="none" w:pos="424" w:val="left"/>
        </w:tabs>
        <w:numPr>
          <w:ilvl w:val="0"/>
          <w:numId w:val="17"/>
        </w:numPr>
        <w:rPr>
          <w:rFonts w:ascii="Arial" w:cs="Arial" w:eastAsia="Arial" w:hAnsi="Arial"/>
          <w:sz w:val="18"/>
          <w:szCs w:val="18"/>
          <w:color w:val="auto"/>
        </w:rPr>
      </w:pPr>
      <w:r>
        <w:rPr>
          <w:rFonts w:ascii="Arial" w:cs="Arial" w:eastAsia="Arial" w:hAnsi="Arial"/>
          <w:sz w:val="18"/>
          <w:szCs w:val="18"/>
          <w:color w:val="auto"/>
        </w:rPr>
        <w:t>Represents 1 Class A ordinary share held by Medway Brilliant Holding Limited. Medway Brilliant Holding Limited is wholly owned by Mr. Jiayuan Lin.</w:t>
      </w:r>
    </w:p>
    <w:p>
      <w:pPr>
        <w:spacing w:after="0" w:line="1" w:lineRule="exact"/>
        <w:rPr>
          <w:rFonts w:ascii="Arial" w:cs="Arial" w:eastAsia="Arial" w:hAnsi="Arial"/>
          <w:sz w:val="18"/>
          <w:szCs w:val="18"/>
          <w:color w:val="auto"/>
        </w:rPr>
      </w:pPr>
    </w:p>
    <w:p>
      <w:pPr>
        <w:ind w:left="424" w:right="540" w:hanging="424"/>
        <w:spacing w:after="0" w:line="250" w:lineRule="auto"/>
        <w:tabs>
          <w:tab w:leader="none" w:pos="424" w:val="left"/>
        </w:tabs>
        <w:numPr>
          <w:ilvl w:val="0"/>
          <w:numId w:val="17"/>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such reporting person is calculated based on a total of 229,831,213 Class A ordinary shares of the Issuer issued and outstanding as of December 31, 2021.</w:t>
      </w:r>
    </w:p>
    <w:p>
      <w:pPr>
        <w:ind w:left="424" w:right="40" w:hanging="424"/>
        <w:spacing w:after="0" w:line="292" w:lineRule="auto"/>
        <w:tabs>
          <w:tab w:leader="none" w:pos="424" w:val="left"/>
        </w:tabs>
        <w:numPr>
          <w:ilvl w:val="0"/>
          <w:numId w:val="17"/>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95"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Page 3 of 10</w:t>
      </w:r>
    </w:p>
    <w:p>
      <w:pPr>
        <w:sectPr>
          <w:pgSz w:w="11900" w:h="16838" w:orient="portrait"/>
          <w:cols w:equalWidth="0" w:num="1">
            <w:col w:w="10964"/>
          </w:cols>
          <w:pgMar w:left="436" w:top="287" w:right="499" w:bottom="1440" w:gutter="0" w:footer="0" w:header="0"/>
        </w:sectPr>
      </w:pPr>
    </w:p>
    <w:bookmarkStart w:id="3" w:name="page4"/>
    <w:bookmarkEnd w:id="3"/>
    <w:p>
      <w:pPr>
        <w:ind w:left="624" w:hanging="377"/>
        <w:spacing w:after="0"/>
        <w:tabs>
          <w:tab w:leader="none" w:pos="624" w:val="left"/>
        </w:tabs>
        <w:numPr>
          <w:ilvl w:val="0"/>
          <w:numId w:val="18"/>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74865" cy="38735"/>
                    </a:xfrm>
                    <a:prstGeom prst="rect">
                      <a:avLst/>
                    </a:prstGeom>
                    <a:noFill/>
                  </pic:spPr>
                </pic:pic>
              </a:graphicData>
            </a:graphic>
          </wp:anchor>
        </w:drawing>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3581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960870" cy="5358130"/>
                    </a:xfrm>
                    <a:prstGeom prst="rect">
                      <a:avLst/>
                    </a:prstGeom>
                    <a:noFill/>
                  </pic:spPr>
                </pic:pic>
              </a:graphicData>
            </a:graphic>
          </wp:anchor>
        </w:drawing>
      </w:r>
    </w:p>
    <w:p>
      <w:pPr>
        <w:spacing w:after="0" w:line="232" w:lineRule="exact"/>
        <w:rPr>
          <w:sz w:val="20"/>
          <w:szCs w:val="20"/>
          <w:color w:val="auto"/>
        </w:rPr>
      </w:pPr>
    </w:p>
    <w:p>
      <w:pPr>
        <w:ind w:left="604"/>
        <w:spacing w:after="0"/>
        <w:rPr>
          <w:sz w:val="20"/>
          <w:szCs w:val="20"/>
          <w:color w:val="auto"/>
        </w:rPr>
      </w:pPr>
      <w:r>
        <w:rPr>
          <w:rFonts w:ascii="Arial" w:cs="Arial" w:eastAsia="Arial" w:hAnsi="Arial"/>
          <w:sz w:val="18"/>
          <w:szCs w:val="18"/>
          <w:color w:val="auto"/>
        </w:rPr>
        <w:t>Traveler Holdings Limited</w:t>
      </w:r>
    </w:p>
    <w:p>
      <w:pPr>
        <w:spacing w:after="0" w:line="36" w:lineRule="exact"/>
        <w:rPr>
          <w:sz w:val="20"/>
          <w:szCs w:val="20"/>
          <w:color w:val="auto"/>
        </w:rPr>
      </w:pPr>
    </w:p>
    <w:p>
      <w:pPr>
        <w:ind w:left="624" w:hanging="377"/>
        <w:spacing w:after="0"/>
        <w:tabs>
          <w:tab w:leader="none" w:pos="624" w:val="left"/>
        </w:tabs>
        <w:numPr>
          <w:ilvl w:val="0"/>
          <w:numId w:val="19"/>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20"/>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21"/>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British Virgin Islands</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22"/>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23"/>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23"/>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jc w:val="both"/>
        <w:ind w:left="624" w:right="120"/>
        <w:spacing w:after="0" w:line="299" w:lineRule="auto"/>
        <w:rPr>
          <w:rFonts w:ascii="Arial" w:cs="Arial" w:eastAsia="Arial" w:hAnsi="Arial"/>
          <w:sz w:val="18"/>
          <w:szCs w:val="18"/>
          <w:color w:val="auto"/>
        </w:rPr>
      </w:pPr>
      <w:r>
        <w:rPr>
          <w:rFonts w:ascii="Arial" w:cs="Arial" w:eastAsia="Arial" w:hAnsi="Arial"/>
          <w:sz w:val="16"/>
          <w:szCs w:val="16"/>
          <w:color w:val="auto"/>
        </w:rPr>
        <w:t>14.2% of Class A ordinary shares assuming conversion of the Class B ordinary shares held by the reporting person only into Class A ordinary shares.</w:t>
      </w:r>
      <w:r>
        <w:rPr>
          <w:rFonts w:ascii="Arial" w:cs="Arial" w:eastAsia="Arial" w:hAnsi="Arial"/>
          <w:sz w:val="13"/>
          <w:szCs w:val="13"/>
          <w:color w:val="auto"/>
        </w:rPr>
        <w:t>(2)</w:t>
      </w:r>
      <w:r>
        <w:rPr>
          <w:rFonts w:ascii="Arial" w:cs="Arial" w:eastAsia="Arial" w:hAnsi="Arial"/>
          <w:sz w:val="16"/>
          <w:szCs w:val="16"/>
          <w:color w:val="auto"/>
        </w:rPr>
        <w:t xml:space="preserve"> The voting power of the shares beneficially owned by the reporting person represent 41.2% of the total outstanding voting power.</w:t>
      </w:r>
      <w:r>
        <w:rPr>
          <w:rFonts w:ascii="Arial" w:cs="Arial" w:eastAsia="Arial" w:hAnsi="Arial"/>
          <w:sz w:val="13"/>
          <w:szCs w:val="13"/>
          <w:color w:val="auto"/>
        </w:rPr>
        <w:t>(3)</w:t>
      </w:r>
    </w:p>
    <w:p>
      <w:pPr>
        <w:ind w:left="604" w:hanging="447"/>
        <w:spacing w:after="0"/>
        <w:tabs>
          <w:tab w:leader="none" w:pos="604" w:val="left"/>
        </w:tabs>
        <w:numPr>
          <w:ilvl w:val="1"/>
          <w:numId w:val="23"/>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CO</w:t>
      </w:r>
    </w:p>
    <w:p>
      <w:pPr>
        <w:spacing w:after="0" w:line="279" w:lineRule="exact"/>
        <w:rPr>
          <w:rFonts w:ascii="Arial" w:cs="Arial" w:eastAsia="Arial" w:hAnsi="Arial"/>
          <w:sz w:val="18"/>
          <w:szCs w:val="18"/>
          <w:color w:val="auto"/>
        </w:rPr>
      </w:pPr>
    </w:p>
    <w:p>
      <w:pPr>
        <w:ind w:left="424" w:right="120" w:hanging="424"/>
        <w:spacing w:after="0" w:line="258" w:lineRule="auto"/>
        <w:tabs>
          <w:tab w:leader="none" w:pos="424" w:val="left"/>
        </w:tabs>
        <w:numPr>
          <w:ilvl w:val="0"/>
          <w:numId w:val="24"/>
        </w:numPr>
        <w:rPr>
          <w:rFonts w:ascii="Arial" w:cs="Arial" w:eastAsia="Arial" w:hAnsi="Arial"/>
          <w:sz w:val="18"/>
          <w:szCs w:val="18"/>
          <w:color w:val="auto"/>
        </w:rPr>
      </w:pPr>
      <w:r>
        <w:rPr>
          <w:rFonts w:ascii="Arial" w:cs="Arial" w:eastAsia="Arial" w:hAnsi="Arial"/>
          <w:sz w:val="18"/>
          <w:szCs w:val="18"/>
          <w:color w:val="auto"/>
        </w:rPr>
        <w:t>Represents (i) 34,702,890 Class B ordinary shares held by Traveler Enterprise Limited and (ii) 2,741,606 Class A ordinary shares represented by ADSs that are beneficially owned by Traveler Enterprise Limited.</w:t>
      </w:r>
    </w:p>
    <w:p>
      <w:pPr>
        <w:spacing w:after="0" w:line="1" w:lineRule="exact"/>
        <w:rPr>
          <w:rFonts w:ascii="Arial" w:cs="Arial" w:eastAsia="Arial" w:hAnsi="Arial"/>
          <w:sz w:val="18"/>
          <w:szCs w:val="18"/>
          <w:color w:val="auto"/>
        </w:rPr>
      </w:pPr>
    </w:p>
    <w:p>
      <w:pPr>
        <w:ind w:left="424" w:right="20" w:hanging="424"/>
        <w:spacing w:after="0" w:line="250" w:lineRule="auto"/>
        <w:tabs>
          <w:tab w:leader="none" w:pos="424" w:val="left"/>
        </w:tabs>
        <w:numPr>
          <w:ilvl w:val="0"/>
          <w:numId w:val="24"/>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such reporting person is calculated based on (i) 229,831,213 Class A ordinary shares of the Issuer issued and outstanding as of December 31, 2021 and (ii) 34,702,890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40" w:hanging="424"/>
        <w:spacing w:after="0" w:line="292" w:lineRule="auto"/>
        <w:tabs>
          <w:tab w:leader="none" w:pos="424" w:val="left"/>
        </w:tabs>
        <w:numPr>
          <w:ilvl w:val="0"/>
          <w:numId w:val="24"/>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95"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Page 4 of 10</w:t>
      </w:r>
    </w:p>
    <w:p>
      <w:pPr>
        <w:sectPr>
          <w:pgSz w:w="11900" w:h="16838" w:orient="portrait"/>
          <w:cols w:equalWidth="0" w:num="1">
            <w:col w:w="10964"/>
          </w:cols>
          <w:pgMar w:left="436" w:top="287" w:right="499" w:bottom="1440" w:gutter="0" w:footer="0" w:header="0"/>
        </w:sectPr>
      </w:pPr>
    </w:p>
    <w:bookmarkStart w:id="4" w:name="page5"/>
    <w:bookmarkEnd w:id="4"/>
    <w:p>
      <w:pPr>
        <w:ind w:left="624" w:hanging="377"/>
        <w:spacing w:after="0"/>
        <w:tabs>
          <w:tab w:leader="none" w:pos="624" w:val="left"/>
        </w:tabs>
        <w:numPr>
          <w:ilvl w:val="0"/>
          <w:numId w:val="25"/>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35749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960870" cy="5357495"/>
                    </a:xfrm>
                    <a:prstGeom prst="rect">
                      <a:avLst/>
                    </a:prstGeom>
                    <a:noFill/>
                  </pic:spPr>
                </pic:pic>
              </a:graphicData>
            </a:graphic>
          </wp:anchor>
        </w:drawing>
      </w:r>
    </w:p>
    <w:p>
      <w:pPr>
        <w:spacing w:after="0" w:line="232" w:lineRule="exact"/>
        <w:rPr>
          <w:sz w:val="20"/>
          <w:szCs w:val="20"/>
          <w:color w:val="auto"/>
        </w:rPr>
      </w:pPr>
    </w:p>
    <w:p>
      <w:pPr>
        <w:ind w:left="604"/>
        <w:spacing w:after="0"/>
        <w:rPr>
          <w:sz w:val="20"/>
          <w:szCs w:val="20"/>
          <w:color w:val="auto"/>
        </w:rPr>
      </w:pPr>
      <w:r>
        <w:rPr>
          <w:rFonts w:ascii="Arial" w:cs="Arial" w:eastAsia="Arial" w:hAnsi="Arial"/>
          <w:sz w:val="18"/>
          <w:szCs w:val="18"/>
          <w:color w:val="auto"/>
        </w:rPr>
        <w:t>Traveler Enterprise Limited</w:t>
      </w:r>
    </w:p>
    <w:p>
      <w:pPr>
        <w:spacing w:after="0" w:line="36" w:lineRule="exact"/>
        <w:rPr>
          <w:sz w:val="20"/>
          <w:szCs w:val="20"/>
          <w:color w:val="auto"/>
        </w:rPr>
      </w:pPr>
    </w:p>
    <w:p>
      <w:pPr>
        <w:ind w:left="624" w:hanging="377"/>
        <w:spacing w:after="0"/>
        <w:tabs>
          <w:tab w:leader="none" w:pos="624" w:val="left"/>
        </w:tabs>
        <w:numPr>
          <w:ilvl w:val="0"/>
          <w:numId w:val="2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27"/>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28"/>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British Virgin Islands</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29"/>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37,444,496</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30"/>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30"/>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jc w:val="both"/>
        <w:ind w:left="624" w:right="120"/>
        <w:spacing w:after="0" w:line="299" w:lineRule="auto"/>
        <w:rPr>
          <w:rFonts w:ascii="Arial" w:cs="Arial" w:eastAsia="Arial" w:hAnsi="Arial"/>
          <w:sz w:val="18"/>
          <w:szCs w:val="18"/>
          <w:color w:val="auto"/>
        </w:rPr>
      </w:pPr>
      <w:r>
        <w:rPr>
          <w:rFonts w:ascii="Arial" w:cs="Arial" w:eastAsia="Arial" w:hAnsi="Arial"/>
          <w:sz w:val="16"/>
          <w:szCs w:val="16"/>
          <w:color w:val="auto"/>
        </w:rPr>
        <w:t>14.2% of Class A ordinary shares assuming conversion of the Class B ordinary shares held by the reporting person only into Class A ordinary shares.</w:t>
      </w:r>
      <w:r>
        <w:rPr>
          <w:rFonts w:ascii="Arial" w:cs="Arial" w:eastAsia="Arial" w:hAnsi="Arial"/>
          <w:sz w:val="13"/>
          <w:szCs w:val="13"/>
          <w:color w:val="auto"/>
        </w:rPr>
        <w:t>(2)</w:t>
      </w:r>
      <w:r>
        <w:rPr>
          <w:rFonts w:ascii="Arial" w:cs="Arial" w:eastAsia="Arial" w:hAnsi="Arial"/>
          <w:sz w:val="16"/>
          <w:szCs w:val="16"/>
          <w:color w:val="auto"/>
        </w:rPr>
        <w:t xml:space="preserve"> The voting power of the shares beneficially owned by the reporting person represent 41.2% of the total outstanding voting power.</w:t>
      </w:r>
      <w:r>
        <w:rPr>
          <w:rFonts w:ascii="Arial" w:cs="Arial" w:eastAsia="Arial" w:hAnsi="Arial"/>
          <w:sz w:val="13"/>
          <w:szCs w:val="13"/>
          <w:color w:val="auto"/>
        </w:rPr>
        <w:t>(3)</w:t>
      </w:r>
    </w:p>
    <w:p>
      <w:pPr>
        <w:ind w:left="604" w:hanging="447"/>
        <w:spacing w:after="0"/>
        <w:tabs>
          <w:tab w:leader="none" w:pos="604" w:val="left"/>
        </w:tabs>
        <w:numPr>
          <w:ilvl w:val="1"/>
          <w:numId w:val="30"/>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CO</w:t>
      </w:r>
    </w:p>
    <w:p>
      <w:pPr>
        <w:spacing w:after="0" w:line="279" w:lineRule="exact"/>
        <w:rPr>
          <w:rFonts w:ascii="Arial" w:cs="Arial" w:eastAsia="Arial" w:hAnsi="Arial"/>
          <w:sz w:val="18"/>
          <w:szCs w:val="18"/>
          <w:color w:val="auto"/>
        </w:rPr>
      </w:pPr>
    </w:p>
    <w:p>
      <w:pPr>
        <w:ind w:left="424" w:right="100" w:hanging="424"/>
        <w:spacing w:after="0" w:line="291" w:lineRule="auto"/>
        <w:tabs>
          <w:tab w:leader="none" w:pos="424" w:val="left"/>
        </w:tabs>
        <w:numPr>
          <w:ilvl w:val="0"/>
          <w:numId w:val="31"/>
        </w:numPr>
        <w:rPr>
          <w:rFonts w:ascii="Arial" w:cs="Arial" w:eastAsia="Arial" w:hAnsi="Arial"/>
          <w:sz w:val="16"/>
          <w:szCs w:val="16"/>
          <w:color w:val="auto"/>
        </w:rPr>
      </w:pPr>
      <w:r>
        <w:rPr>
          <w:rFonts w:ascii="Arial" w:cs="Arial" w:eastAsia="Arial" w:hAnsi="Arial"/>
          <w:sz w:val="16"/>
          <w:szCs w:val="16"/>
          <w:color w:val="auto"/>
        </w:rPr>
        <w:t>Represents (i) 34,702,890 Class B ordinary shares held by Traveler Enterprise Limited and (ii) 2,741,606 Class A ordinary shares represented by ADSs that are beneficially owned by Traveler Enterprise Limited. Traveler Enterprise Limited is wholly owned by Traveler Holdings Limited.</w:t>
      </w:r>
    </w:p>
    <w:p>
      <w:pPr>
        <w:ind w:left="424" w:right="20" w:hanging="424"/>
        <w:spacing w:after="0" w:line="250" w:lineRule="auto"/>
        <w:tabs>
          <w:tab w:leader="none" w:pos="424" w:val="left"/>
        </w:tabs>
        <w:numPr>
          <w:ilvl w:val="0"/>
          <w:numId w:val="31"/>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such reporting person is calculated based on (i) 229,831,213 Class A ordinary shares of the Issuer issued and outstanding as of December 31, 2021 and (ii) 34,702,890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40" w:hanging="424"/>
        <w:spacing w:after="0" w:line="292" w:lineRule="auto"/>
        <w:tabs>
          <w:tab w:leader="none" w:pos="424" w:val="left"/>
        </w:tabs>
        <w:numPr>
          <w:ilvl w:val="0"/>
          <w:numId w:val="31"/>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95"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Page 5 of 10</w:t>
      </w:r>
    </w:p>
    <w:p>
      <w:pPr>
        <w:sectPr>
          <w:pgSz w:w="11900" w:h="16838" w:orient="portrait"/>
          <w:cols w:equalWidth="0" w:num="1">
            <w:col w:w="10964"/>
          </w:cols>
          <w:pgMar w:left="436" w:top="287" w:right="499" w:bottom="1440" w:gutter="0" w:footer="0" w:header="0"/>
        </w:sectPr>
      </w:pPr>
    </w:p>
    <w:bookmarkStart w:id="5" w:name="page6"/>
    <w:bookmarkEnd w:id="5"/>
    <w:p>
      <w:pPr>
        <w:ind w:left="4"/>
        <w:spacing w:after="0"/>
        <w:rPr>
          <w:sz w:val="20"/>
          <w:szCs w:val="20"/>
          <w:color w:val="auto"/>
        </w:rPr>
      </w:pPr>
      <w:r>
        <w:rPr>
          <w:rFonts w:ascii="Arial" w:cs="Arial" w:eastAsia="Arial" w:hAnsi="Arial"/>
          <w:sz w:val="18"/>
          <w:szCs w:val="18"/>
          <w:u w:val="single" w:color="auto"/>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735"/>
                    </a:xfrm>
                    <a:prstGeom prst="rect">
                      <a:avLst/>
                    </a:prstGeom>
                    <a:noFill/>
                  </pic:spPr>
                </pic:pic>
              </a:graphicData>
            </a:graphic>
          </wp:anchor>
        </w:drawing>
        <w:t>Explanatory Note</w:t>
      </w:r>
      <w:r>
        <w:rPr>
          <w:rFonts w:ascii="Arial" w:cs="Arial" w:eastAsia="Arial" w:hAnsi="Arial"/>
          <w:sz w:val="18"/>
          <w:szCs w:val="18"/>
          <w:color w:val="auto"/>
        </w:rPr>
        <w:t>:</w:t>
      </w:r>
    </w:p>
    <w:p>
      <w:pPr>
        <w:spacing w:after="0" w:line="117" w:lineRule="exact"/>
        <w:rPr>
          <w:sz w:val="20"/>
          <w:szCs w:val="20"/>
          <w:color w:val="auto"/>
        </w:rPr>
      </w:pPr>
    </w:p>
    <w:p>
      <w:pPr>
        <w:ind w:left="4" w:right="20"/>
        <w:spacing w:after="0" w:line="311" w:lineRule="auto"/>
        <w:rPr>
          <w:sz w:val="20"/>
          <w:szCs w:val="20"/>
          <w:color w:val="auto"/>
        </w:rPr>
      </w:pPr>
      <w:r>
        <w:rPr>
          <w:rFonts w:ascii="Arial" w:cs="Arial" w:eastAsia="Arial" w:hAnsi="Arial"/>
          <w:sz w:val="16"/>
          <w:szCs w:val="16"/>
          <w:color w:val="auto"/>
        </w:rPr>
        <w:t>This Amendment No. 4 (this “Amendment”) amends and restates the Amendment No. 3 to Schedule 13G filed on behalf of the reporting persons on February 11, 2022 (the “Previous Filing”). This Amendment is filed to correct the number of Class A ordinary shares beneficially owned as stated in the Previous Filing, which was reported incorrectly due to inadvertent errors. This Amendment reflects beneficial ownership as of December 31, 2021.</w:t>
      </w:r>
    </w:p>
    <w:p>
      <w:pPr>
        <w:spacing w:after="0" w:line="293" w:lineRule="exact"/>
        <w:rPr>
          <w:sz w:val="20"/>
          <w:szCs w:val="20"/>
          <w:color w:val="auto"/>
        </w:rPr>
      </w:pPr>
    </w:p>
    <w:p>
      <w:pPr>
        <w:ind w:left="4"/>
        <w:spacing w:after="0"/>
        <w:rPr>
          <w:sz w:val="20"/>
          <w:szCs w:val="20"/>
          <w:color w:val="auto"/>
        </w:rPr>
      </w:pPr>
      <w:r>
        <w:rPr>
          <w:rFonts w:ascii="Arial" w:cs="Arial" w:eastAsia="Arial" w:hAnsi="Arial"/>
          <w:sz w:val="18"/>
          <w:szCs w:val="18"/>
          <w:b w:val="1"/>
          <w:bCs w:val="1"/>
          <w:color w:val="auto"/>
        </w:rPr>
        <w:t>Item 1.</w:t>
      </w:r>
    </w:p>
    <w:p>
      <w:pPr>
        <w:spacing w:after="0" w:line="131" w:lineRule="exact"/>
        <w:rPr>
          <w:sz w:val="20"/>
          <w:szCs w:val="20"/>
          <w:color w:val="auto"/>
        </w:rPr>
      </w:pPr>
    </w:p>
    <w:p>
      <w:pPr>
        <w:ind w:left="444" w:right="9340" w:hanging="444"/>
        <w:spacing w:after="0" w:line="431" w:lineRule="auto"/>
        <w:tabs>
          <w:tab w:leader="none" w:pos="436" w:val="left"/>
        </w:tabs>
        <w:numPr>
          <w:ilvl w:val="0"/>
          <w:numId w:val="3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Name of Issuer: </w:t>
      </w:r>
      <w:r>
        <w:rPr>
          <w:rFonts w:ascii="Arial" w:cs="Arial" w:eastAsia="Arial" w:hAnsi="Arial"/>
          <w:sz w:val="16"/>
          <w:szCs w:val="16"/>
          <w:color w:val="auto"/>
        </w:rPr>
        <w:t>Cango Inc.</w:t>
      </w:r>
    </w:p>
    <w:p>
      <w:pPr>
        <w:ind w:left="424" w:hanging="424"/>
        <w:spacing w:after="0"/>
        <w:tabs>
          <w:tab w:leader="none" w:pos="424"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Issuer’s Principal Executive Offices:</w:t>
      </w:r>
    </w:p>
    <w:p>
      <w:pPr>
        <w:spacing w:after="0" w:line="121" w:lineRule="exact"/>
        <w:rPr>
          <w:rFonts w:ascii="Arial" w:cs="Arial" w:eastAsia="Arial" w:hAnsi="Arial"/>
          <w:sz w:val="18"/>
          <w:szCs w:val="18"/>
          <w:b w:val="1"/>
          <w:bCs w:val="1"/>
          <w:color w:val="auto"/>
        </w:rPr>
      </w:pPr>
    </w:p>
    <w:p>
      <w:pPr>
        <w:ind w:left="444" w:right="826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8F, New Bund Oriental Plaza II 556 West Haiyang Road Pudong, Shanghai</w:t>
      </w:r>
    </w:p>
    <w:p>
      <w:pPr>
        <w:spacing w:after="0" w:line="2" w:lineRule="exact"/>
        <w:rPr>
          <w:rFonts w:ascii="Arial" w:cs="Arial" w:eastAsia="Arial" w:hAnsi="Arial"/>
          <w:sz w:val="18"/>
          <w:szCs w:val="18"/>
          <w:b w:val="1"/>
          <w:bCs w:val="1"/>
          <w:color w:val="auto"/>
        </w:rPr>
      </w:pPr>
    </w:p>
    <w:p>
      <w:pPr>
        <w:ind w:left="444"/>
        <w:spacing w:after="0"/>
        <w:rPr>
          <w:rFonts w:ascii="Arial" w:cs="Arial" w:eastAsia="Arial" w:hAnsi="Arial"/>
          <w:sz w:val="18"/>
          <w:szCs w:val="18"/>
          <w:b w:val="1"/>
          <w:bCs w:val="1"/>
          <w:color w:val="auto"/>
        </w:rPr>
      </w:pPr>
      <w:r>
        <w:rPr>
          <w:rFonts w:ascii="Arial" w:cs="Arial" w:eastAsia="Arial" w:hAnsi="Arial"/>
          <w:sz w:val="18"/>
          <w:szCs w:val="18"/>
          <w:color w:val="auto"/>
        </w:rPr>
        <w:t>People’s Republic of China</w:t>
      </w:r>
    </w:p>
    <w:p>
      <w:pPr>
        <w:spacing w:after="0" w:line="355" w:lineRule="exact"/>
        <w:rPr>
          <w:sz w:val="20"/>
          <w:szCs w:val="20"/>
          <w:color w:val="auto"/>
        </w:rPr>
      </w:pPr>
    </w:p>
    <w:p>
      <w:pPr>
        <w:ind w:left="4"/>
        <w:spacing w:after="0"/>
        <w:rPr>
          <w:sz w:val="20"/>
          <w:szCs w:val="20"/>
          <w:color w:val="auto"/>
        </w:rPr>
      </w:pPr>
      <w:r>
        <w:rPr>
          <w:rFonts w:ascii="Arial" w:cs="Arial" w:eastAsia="Arial" w:hAnsi="Arial"/>
          <w:sz w:val="18"/>
          <w:szCs w:val="18"/>
          <w:b w:val="1"/>
          <w:bCs w:val="1"/>
          <w:color w:val="auto"/>
        </w:rPr>
        <w:t>Item 2.</w:t>
      </w:r>
    </w:p>
    <w:p>
      <w:pPr>
        <w:spacing w:after="0" w:line="131" w:lineRule="exact"/>
        <w:rPr>
          <w:sz w:val="20"/>
          <w:szCs w:val="20"/>
          <w:color w:val="auto"/>
        </w:rPr>
      </w:pPr>
    </w:p>
    <w:p>
      <w:pPr>
        <w:ind w:left="424" w:hanging="424"/>
        <w:spacing w:after="0"/>
        <w:tabs>
          <w:tab w:leader="none" w:pos="424"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Name of Person Filing:</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Jiayuan Lin, a citizen of the People’s Republic of China;</w:t>
      </w:r>
    </w:p>
    <w:p>
      <w:pPr>
        <w:spacing w:after="0" w:line="130" w:lineRule="exact"/>
        <w:rPr>
          <w:rFonts w:ascii="Arial" w:cs="Arial" w:eastAsia="Arial" w:hAnsi="Arial"/>
          <w:sz w:val="18"/>
          <w:szCs w:val="18"/>
          <w:color w:val="auto"/>
        </w:rPr>
      </w:pPr>
    </w:p>
    <w:p>
      <w:pPr>
        <w:ind w:left="964" w:right="360" w:hanging="532"/>
        <w:spacing w:after="0" w:line="277" w:lineRule="auto"/>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Medway Brilliant Holding Limited (“Medway Brilliant”), a company established in the British Virgin Islands and is wholly owned by Jiayuan Lin;</w:t>
      </w:r>
    </w:p>
    <w:p>
      <w:pPr>
        <w:spacing w:after="0" w:line="75" w:lineRule="exact"/>
        <w:rPr>
          <w:rFonts w:ascii="Arial" w:cs="Arial" w:eastAsia="Arial" w:hAnsi="Arial"/>
          <w:sz w:val="18"/>
          <w:szCs w:val="18"/>
          <w:color w:val="auto"/>
        </w:rPr>
      </w:pPr>
    </w:p>
    <w:p>
      <w:pPr>
        <w:ind w:left="964" w:hanging="532"/>
        <w:spacing w:after="0"/>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Traveler Holdings Limited, a company established in the British Virgin Islands; and</w:t>
      </w:r>
    </w:p>
    <w:p>
      <w:pPr>
        <w:spacing w:after="0" w:line="130" w:lineRule="exact"/>
        <w:rPr>
          <w:rFonts w:ascii="Arial" w:cs="Arial" w:eastAsia="Arial" w:hAnsi="Arial"/>
          <w:sz w:val="18"/>
          <w:szCs w:val="18"/>
          <w:color w:val="auto"/>
        </w:rPr>
      </w:pPr>
    </w:p>
    <w:p>
      <w:pPr>
        <w:ind w:left="964" w:right="120" w:hanging="532"/>
        <w:spacing w:after="0" w:line="277" w:lineRule="auto"/>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Traveler Enterprise Limited (“Traveler Enterprise”), a company established in the British Virgin Islands and is wholly owned by Traveler Holdings Limited.</w:t>
      </w:r>
    </w:p>
    <w:p>
      <w:pPr>
        <w:spacing w:after="0" w:line="71" w:lineRule="exact"/>
        <w:rPr>
          <w:rFonts w:ascii="Arial" w:cs="Arial" w:eastAsia="Arial" w:hAnsi="Arial"/>
          <w:sz w:val="18"/>
          <w:szCs w:val="18"/>
          <w:color w:val="auto"/>
        </w:rPr>
      </w:pPr>
    </w:p>
    <w:p>
      <w:pPr>
        <w:ind w:left="424" w:hanging="424"/>
        <w:spacing w:after="0"/>
        <w:tabs>
          <w:tab w:leader="none" w:pos="424"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33"/>
        </w:numPr>
        <w:rPr>
          <w:rFonts w:ascii="Arial" w:cs="Arial" w:eastAsia="Arial" w:hAnsi="Arial"/>
          <w:sz w:val="16"/>
          <w:szCs w:val="16"/>
          <w:color w:val="auto"/>
        </w:rPr>
      </w:pPr>
      <w:r>
        <w:rPr>
          <w:rFonts w:ascii="Arial" w:cs="Arial" w:eastAsia="Arial" w:hAnsi="Arial"/>
          <w:sz w:val="16"/>
          <w:szCs w:val="16"/>
          <w:color w:val="auto"/>
        </w:rPr>
        <w:t>The address of Jiayuan Lin is 8F, New Bund Oriental Plaza II, 556 West Haiyang Road, Pudong, Shanghai, People’s Republic of China.</w:t>
      </w:r>
    </w:p>
    <w:p>
      <w:pPr>
        <w:spacing w:after="0" w:line="153" w:lineRule="exact"/>
        <w:rPr>
          <w:rFonts w:ascii="Arial" w:cs="Arial" w:eastAsia="Arial" w:hAnsi="Arial"/>
          <w:sz w:val="16"/>
          <w:szCs w:val="16"/>
          <w:color w:val="auto"/>
        </w:rPr>
      </w:pPr>
    </w:p>
    <w:p>
      <w:pPr>
        <w:ind w:left="964" w:right="640" w:hanging="532"/>
        <w:spacing w:after="0" w:line="277" w:lineRule="auto"/>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The registered address of Medway Brilliant is the offices of Sertus Incorporations (BVI) Limited, Sertus Chambers, P.O. Box 905, Quastisky Building, Road Town, Tortola VG1110, British Virgin Islands.</w:t>
      </w:r>
    </w:p>
    <w:p>
      <w:pPr>
        <w:spacing w:after="0" w:line="75" w:lineRule="exact"/>
        <w:rPr>
          <w:rFonts w:ascii="Arial" w:cs="Arial" w:eastAsia="Arial" w:hAnsi="Arial"/>
          <w:sz w:val="18"/>
          <w:szCs w:val="18"/>
          <w:color w:val="auto"/>
        </w:rPr>
      </w:pPr>
    </w:p>
    <w:p>
      <w:pPr>
        <w:ind w:left="964" w:right="500" w:hanging="532"/>
        <w:spacing w:after="0" w:line="277" w:lineRule="auto"/>
        <w:tabs>
          <w:tab w:leader="none" w:pos="964" w:val="left"/>
        </w:tabs>
        <w:numPr>
          <w:ilvl w:val="1"/>
          <w:numId w:val="33"/>
        </w:numPr>
        <w:rPr>
          <w:rFonts w:ascii="Arial" w:cs="Arial" w:eastAsia="Arial" w:hAnsi="Arial"/>
          <w:sz w:val="18"/>
          <w:szCs w:val="18"/>
          <w:color w:val="auto"/>
        </w:rPr>
      </w:pPr>
      <w:r>
        <w:rPr>
          <w:rFonts w:ascii="Arial" w:cs="Arial" w:eastAsia="Arial" w:hAnsi="Arial"/>
          <w:sz w:val="18"/>
          <w:szCs w:val="18"/>
          <w:color w:val="auto"/>
        </w:rPr>
        <w:t>The registered address of Traveler Holdings Limited is Ritter House, Wickhams Cay II, Road Town, Tortola VG1110, British Virgin Islands</w:t>
      </w:r>
      <w:r>
        <w:rPr>
          <w:rFonts w:ascii="Arial" w:cs="Arial" w:eastAsia="Arial" w:hAnsi="Arial"/>
          <w:sz w:val="18"/>
          <w:szCs w:val="18"/>
          <w:b w:val="1"/>
          <w:bCs w:val="1"/>
          <w:i w:val="1"/>
          <w:iCs w:val="1"/>
          <w:color w:val="auto"/>
        </w:rPr>
        <w:t>.</w:t>
      </w:r>
    </w:p>
    <w:p>
      <w:pPr>
        <w:spacing w:after="0" w:line="75" w:lineRule="exact"/>
        <w:rPr>
          <w:rFonts w:ascii="Arial" w:cs="Arial" w:eastAsia="Arial" w:hAnsi="Arial"/>
          <w:sz w:val="18"/>
          <w:szCs w:val="18"/>
          <w:color w:val="auto"/>
        </w:rPr>
      </w:pPr>
    </w:p>
    <w:p>
      <w:pPr>
        <w:ind w:left="964" w:hanging="532"/>
        <w:spacing w:after="0"/>
        <w:tabs>
          <w:tab w:leader="none" w:pos="964" w:val="left"/>
        </w:tabs>
        <w:numPr>
          <w:ilvl w:val="1"/>
          <w:numId w:val="33"/>
        </w:numPr>
        <w:rPr>
          <w:rFonts w:ascii="Arial" w:cs="Arial" w:eastAsia="Arial" w:hAnsi="Arial"/>
          <w:sz w:val="17"/>
          <w:szCs w:val="17"/>
          <w:color w:val="auto"/>
        </w:rPr>
      </w:pPr>
      <w:r>
        <w:rPr>
          <w:rFonts w:ascii="Arial" w:cs="Arial" w:eastAsia="Arial" w:hAnsi="Arial"/>
          <w:sz w:val="17"/>
          <w:szCs w:val="17"/>
          <w:color w:val="auto"/>
        </w:rPr>
        <w:t>The registered address of Traveler Enterprise is Ritter House, Wickhams Cay II, Road Town, Tortola VG1110, British Virgin Islands.</w:t>
      </w:r>
    </w:p>
    <w:p>
      <w:pPr>
        <w:spacing w:after="0" w:line="138" w:lineRule="exact"/>
        <w:rPr>
          <w:rFonts w:ascii="Arial" w:cs="Arial" w:eastAsia="Arial" w:hAnsi="Arial"/>
          <w:sz w:val="17"/>
          <w:szCs w:val="17"/>
          <w:color w:val="auto"/>
        </w:rPr>
      </w:pPr>
    </w:p>
    <w:p>
      <w:pPr>
        <w:ind w:left="424" w:hanging="424"/>
        <w:spacing w:after="0"/>
        <w:tabs>
          <w:tab w:leader="none" w:pos="424"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Citizenship:</w:t>
      </w:r>
    </w:p>
    <w:p>
      <w:pPr>
        <w:spacing w:after="0" w:line="121" w:lineRule="exact"/>
        <w:rPr>
          <w:rFonts w:ascii="Arial" w:cs="Arial" w:eastAsia="Arial" w:hAnsi="Arial"/>
          <w:sz w:val="18"/>
          <w:szCs w:val="18"/>
          <w:b w:val="1"/>
          <w:bCs w:val="1"/>
          <w:color w:val="auto"/>
        </w:rPr>
      </w:pPr>
    </w:p>
    <w:p>
      <w:pPr>
        <w:ind w:left="444"/>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Jiayuan Lin is a citizen of the People’s Republic of China. Medway Brilliant, Traveler Holdings Limited and Traveler Enterprise are established in the British Virgin Islands.</w:t>
      </w:r>
    </w:p>
    <w:p>
      <w:pPr>
        <w:spacing w:after="0" w:line="71" w:lineRule="exact"/>
        <w:rPr>
          <w:rFonts w:ascii="Arial" w:cs="Arial" w:eastAsia="Arial" w:hAnsi="Arial"/>
          <w:sz w:val="18"/>
          <w:szCs w:val="18"/>
          <w:b w:val="1"/>
          <w:bCs w:val="1"/>
          <w:color w:val="auto"/>
        </w:rPr>
      </w:pPr>
    </w:p>
    <w:p>
      <w:pPr>
        <w:ind w:left="424" w:hanging="424"/>
        <w:spacing w:after="0"/>
        <w:tabs>
          <w:tab w:leader="none" w:pos="424"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Title and Class of Securities:</w:t>
      </w:r>
    </w:p>
    <w:p>
      <w:pPr>
        <w:spacing w:after="0" w:line="121" w:lineRule="exact"/>
        <w:rPr>
          <w:rFonts w:ascii="Arial" w:cs="Arial" w:eastAsia="Arial" w:hAnsi="Arial"/>
          <w:sz w:val="18"/>
          <w:szCs w:val="18"/>
          <w:b w:val="1"/>
          <w:bCs w:val="1"/>
          <w:color w:val="auto"/>
        </w:rPr>
      </w:pPr>
    </w:p>
    <w:p>
      <w:pPr>
        <w:ind w:left="444"/>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Class A ordinary shares, par value US$0.0001 per share. Each Class B ordinary share is convertible into one Class A ordinary share at any time by the holder thereof. Class A ordinary shares are not convertible into Class B ordinary shares under any circumstances.</w:t>
      </w:r>
    </w:p>
    <w:p>
      <w:pPr>
        <w:spacing w:after="0" w:line="47" w:lineRule="exact"/>
        <w:rPr>
          <w:rFonts w:ascii="Arial" w:cs="Arial" w:eastAsia="Arial" w:hAnsi="Arial"/>
          <w:sz w:val="18"/>
          <w:szCs w:val="18"/>
          <w:b w:val="1"/>
          <w:bCs w:val="1"/>
          <w:color w:val="auto"/>
        </w:rPr>
      </w:pPr>
    </w:p>
    <w:p>
      <w:pPr>
        <w:jc w:val="both"/>
        <w:ind w:left="444" w:right="9640" w:hanging="444"/>
        <w:spacing w:after="0" w:line="425" w:lineRule="auto"/>
        <w:tabs>
          <w:tab w:leader="none" w:pos="436" w:val="left"/>
        </w:tabs>
        <w:numPr>
          <w:ilvl w:val="0"/>
          <w:numId w:val="33"/>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CUSIP No.: </w:t>
      </w:r>
      <w:r>
        <w:rPr>
          <w:rFonts w:ascii="Arial" w:cs="Arial" w:eastAsia="Arial" w:hAnsi="Arial"/>
          <w:sz w:val="17"/>
          <w:szCs w:val="17"/>
          <w:color w:val="auto"/>
        </w:rPr>
        <w:t>137586 103</w:t>
      </w:r>
    </w:p>
    <w:p>
      <w:pPr>
        <w:jc w:val="center"/>
        <w:ind w:right="-23"/>
        <w:spacing w:after="0"/>
        <w:rPr>
          <w:sz w:val="20"/>
          <w:szCs w:val="20"/>
          <w:color w:val="auto"/>
        </w:rPr>
      </w:pPr>
      <w:r>
        <w:rPr>
          <w:rFonts w:ascii="Arial" w:cs="Arial" w:eastAsia="Arial" w:hAnsi="Arial"/>
          <w:sz w:val="18"/>
          <w:szCs w:val="18"/>
          <w:color w:val="auto"/>
        </w:rPr>
        <w:t>Page 6 of 10</w:t>
      </w:r>
    </w:p>
    <w:p>
      <w:pPr>
        <w:sectPr>
          <w:pgSz w:w="11900" w:h="16838" w:orient="portrait"/>
          <w:cols w:equalWidth="0" w:num="1">
            <w:col w:w="10984"/>
          </w:cols>
          <w:pgMar w:left="436" w:top="274" w:right="479" w:bottom="1440" w:gutter="0" w:footer="0" w:header="0"/>
        </w:sectPr>
      </w:pPr>
    </w:p>
    <w:bookmarkStart w:id="6" w:name="page7"/>
    <w:bookmarkEnd w:id="6"/>
    <w:p>
      <w:pPr>
        <w:ind w:left="4"/>
        <w:spacing w:after="0"/>
        <w:tabs>
          <w:tab w:leader="none" w:pos="1064"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Item 3.</w:t>
      </w:r>
      <w:r>
        <w:rPr>
          <w:sz w:val="20"/>
          <w:szCs w:val="20"/>
          <w:color w:val="auto"/>
        </w:rPr>
        <w:tab/>
      </w:r>
      <w:r>
        <w:rPr>
          <w:rFonts w:ascii="Arial" w:cs="Arial" w:eastAsia="Arial" w:hAnsi="Arial"/>
          <w:sz w:val="16"/>
          <w:szCs w:val="16"/>
          <w:b w:val="1"/>
          <w:bCs w:val="1"/>
          <w:color w:val="auto"/>
        </w:rPr>
        <w:t>If this statement is filed pursuant to §§ 240.13d-1(b), or 240.13d-2(b) or (c), check whether the person filing is a:</w:t>
      </w:r>
    </w:p>
    <w:p>
      <w:pPr>
        <w:spacing w:after="0" w:line="121" w:lineRule="exact"/>
        <w:rPr>
          <w:sz w:val="20"/>
          <w:szCs w:val="20"/>
          <w:color w:val="auto"/>
        </w:rPr>
      </w:pPr>
    </w:p>
    <w:p>
      <w:pPr>
        <w:ind w:left="44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tbl>
      <w:tblPr>
        <w:tblLayout w:type="fixed"/>
        <w:tblInd w:w="4" w:type="dxa"/>
        <w:tblCellMar>
          <w:top w:w="0" w:type="dxa"/>
          <w:left w:w="0" w:type="dxa"/>
          <w:bottom w:w="0" w:type="dxa"/>
          <w:right w:w="0" w:type="dxa"/>
        </w:tblCellMar>
      </w:tblPr>
      <w:tr>
        <w:trPr>
          <w:trHeight w:val="234"/>
        </w:trPr>
        <w:tc>
          <w:tcPr>
            <w:tcW w:w="960" w:type="dxa"/>
            <w:vAlign w:val="bottom"/>
            <w:gridSpan w:val="2"/>
          </w:tcPr>
          <w:p>
            <w:pPr>
              <w:spacing w:after="0"/>
              <w:rPr>
                <w:sz w:val="20"/>
                <w:szCs w:val="20"/>
                <w:color w:val="auto"/>
              </w:rPr>
            </w:pPr>
            <w:r>
              <w:rPr>
                <w:rFonts w:ascii="Arial" w:cs="Arial" w:eastAsia="Arial" w:hAnsi="Arial"/>
                <w:sz w:val="18"/>
                <w:szCs w:val="18"/>
                <w:b w:val="1"/>
                <w:bCs w:val="1"/>
                <w:color w:val="auto"/>
              </w:rPr>
              <w:t>Item 4.</w:t>
            </w:r>
          </w:p>
        </w:tc>
        <w:tc>
          <w:tcPr>
            <w:tcW w:w="2000" w:type="dxa"/>
            <w:vAlign w:val="bottom"/>
          </w:tcPr>
          <w:p>
            <w:pPr>
              <w:ind w:left="120"/>
              <w:spacing w:after="0"/>
              <w:rPr>
                <w:sz w:val="20"/>
                <w:szCs w:val="20"/>
                <w:color w:val="auto"/>
              </w:rPr>
            </w:pPr>
            <w:r>
              <w:rPr>
                <w:rFonts w:ascii="Arial" w:cs="Arial" w:eastAsia="Arial" w:hAnsi="Arial"/>
                <w:sz w:val="18"/>
                <w:szCs w:val="18"/>
                <w:b w:val="1"/>
                <w:bCs w:val="1"/>
                <w:color w:val="auto"/>
              </w:rPr>
              <w:t>Ownership</w:t>
            </w: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69"/>
        </w:trPr>
        <w:tc>
          <w:tcPr>
            <w:tcW w:w="6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60" w:type="dxa"/>
            <w:vAlign w:val="bottom"/>
          </w:tcPr>
          <w:p>
            <w:pPr>
              <w:jc w:val="center"/>
              <w:ind w:left="48"/>
              <w:spacing w:after="0"/>
              <w:rPr>
                <w:sz w:val="20"/>
                <w:szCs w:val="20"/>
                <w:color w:val="auto"/>
              </w:rPr>
            </w:pPr>
            <w:r>
              <w:rPr>
                <w:rFonts w:ascii="Arial" w:cs="Arial" w:eastAsia="Arial" w:hAnsi="Arial"/>
                <w:sz w:val="14"/>
                <w:szCs w:val="14"/>
                <w:b w:val="1"/>
                <w:bCs w:val="1"/>
                <w:color w:val="auto"/>
                <w:w w:val="92"/>
              </w:rPr>
              <w:t>Shared</w:t>
            </w:r>
          </w:p>
        </w:tc>
        <w:tc>
          <w:tcPr>
            <w:tcW w:w="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gridSpan w:val="2"/>
          </w:tcPr>
          <w:p>
            <w:pPr>
              <w:jc w:val="center"/>
              <w:ind w:right="300"/>
              <w:spacing w:after="0"/>
              <w:rPr>
                <w:sz w:val="20"/>
                <w:szCs w:val="20"/>
                <w:color w:val="auto"/>
              </w:rPr>
            </w:pPr>
            <w:r>
              <w:rPr>
                <w:rFonts w:ascii="Arial" w:cs="Arial" w:eastAsia="Arial" w:hAnsi="Arial"/>
                <w:sz w:val="14"/>
                <w:szCs w:val="14"/>
                <w:b w:val="1"/>
                <w:bCs w:val="1"/>
                <w:color w:val="auto"/>
                <w:w w:val="90"/>
              </w:rPr>
              <w:t>Sole power</w:t>
            </w:r>
          </w:p>
        </w:tc>
        <w:tc>
          <w:tcPr>
            <w:tcW w:w="8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8"/>
        </w:trPr>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20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140" w:type="dxa"/>
            <w:vAlign w:val="bottom"/>
            <w:gridSpan w:val="2"/>
            <w:vMerge w:val="restart"/>
          </w:tcPr>
          <w:p>
            <w:pPr>
              <w:jc w:val="center"/>
              <w:ind w:right="260"/>
              <w:spacing w:after="0"/>
              <w:rPr>
                <w:sz w:val="20"/>
                <w:szCs w:val="20"/>
                <w:color w:val="auto"/>
              </w:rPr>
            </w:pPr>
            <w:r>
              <w:rPr>
                <w:rFonts w:ascii="Arial" w:cs="Arial" w:eastAsia="Arial" w:hAnsi="Arial"/>
                <w:sz w:val="14"/>
                <w:szCs w:val="14"/>
                <w:b w:val="1"/>
                <w:bCs w:val="1"/>
                <w:color w:val="auto"/>
                <w:w w:val="90"/>
              </w:rPr>
              <w:t>Sole power</w:t>
            </w:r>
          </w:p>
        </w:tc>
        <w:tc>
          <w:tcPr>
            <w:tcW w:w="760" w:type="dxa"/>
            <w:vAlign w:val="bottom"/>
          </w:tcPr>
          <w:p>
            <w:pPr>
              <w:jc w:val="center"/>
              <w:ind w:left="28"/>
              <w:spacing w:after="0" w:line="149" w:lineRule="exact"/>
              <w:rPr>
                <w:sz w:val="20"/>
                <w:szCs w:val="20"/>
                <w:color w:val="auto"/>
              </w:rPr>
            </w:pPr>
            <w:r>
              <w:rPr>
                <w:rFonts w:ascii="Arial" w:cs="Arial" w:eastAsia="Arial" w:hAnsi="Arial"/>
                <w:sz w:val="14"/>
                <w:szCs w:val="14"/>
                <w:b w:val="1"/>
                <w:bCs w:val="1"/>
                <w:color w:val="auto"/>
                <w:w w:val="92"/>
              </w:rPr>
              <w:t>power to</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300"/>
              <w:spacing w:after="0" w:line="149" w:lineRule="exact"/>
              <w:rPr>
                <w:sz w:val="20"/>
                <w:szCs w:val="20"/>
                <w:color w:val="auto"/>
              </w:rPr>
            </w:pPr>
            <w:r>
              <w:rPr>
                <w:rFonts w:ascii="Arial" w:cs="Arial" w:eastAsia="Arial" w:hAnsi="Arial"/>
                <w:sz w:val="14"/>
                <w:szCs w:val="14"/>
                <w:b w:val="1"/>
                <w:bCs w:val="1"/>
                <w:color w:val="auto"/>
                <w:w w:val="90"/>
              </w:rPr>
              <w:t>to</w:t>
            </w:r>
          </w:p>
        </w:tc>
        <w:tc>
          <w:tcPr>
            <w:tcW w:w="114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w w:val="90"/>
              </w:rPr>
              <w:t>Shared power</w:t>
            </w:r>
          </w:p>
        </w:tc>
        <w:tc>
          <w:tcPr>
            <w:tcW w:w="10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Percentage</w:t>
            </w:r>
          </w:p>
        </w:tc>
        <w:tc>
          <w:tcPr>
            <w:tcW w:w="0" w:type="dxa"/>
            <w:vAlign w:val="bottom"/>
          </w:tcPr>
          <w:p>
            <w:pPr>
              <w:spacing w:after="0"/>
              <w:rPr>
                <w:sz w:val="1"/>
                <w:szCs w:val="1"/>
                <w:color w:val="auto"/>
              </w:rPr>
            </w:pPr>
          </w:p>
        </w:tc>
      </w:tr>
      <w:tr>
        <w:trPr>
          <w:trHeight w:val="148"/>
        </w:trPr>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2000" w:type="dxa"/>
            <w:vAlign w:val="bottom"/>
          </w:tcPr>
          <w:p>
            <w:pPr>
              <w:spacing w:after="0"/>
              <w:rPr>
                <w:sz w:val="12"/>
                <w:szCs w:val="12"/>
                <w:color w:val="auto"/>
              </w:rPr>
            </w:pPr>
          </w:p>
        </w:tc>
        <w:tc>
          <w:tcPr>
            <w:tcW w:w="1140" w:type="dxa"/>
            <w:vAlign w:val="bottom"/>
            <w:gridSpan w:val="2"/>
            <w:vMerge w:val="restart"/>
          </w:tcPr>
          <w:p>
            <w:pPr>
              <w:jc w:val="center"/>
              <w:ind w:right="280"/>
              <w:spacing w:after="0"/>
              <w:rPr>
                <w:sz w:val="20"/>
                <w:szCs w:val="20"/>
                <w:color w:val="auto"/>
              </w:rPr>
            </w:pPr>
            <w:r>
              <w:rPr>
                <w:rFonts w:ascii="Arial" w:cs="Arial" w:eastAsia="Arial" w:hAnsi="Arial"/>
                <w:sz w:val="14"/>
                <w:szCs w:val="14"/>
                <w:b w:val="1"/>
                <w:bCs w:val="1"/>
                <w:color w:val="auto"/>
                <w:w w:val="94"/>
              </w:rPr>
              <w:t>Amount</w:t>
            </w:r>
          </w:p>
        </w:tc>
        <w:tc>
          <w:tcPr>
            <w:tcW w:w="8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760" w:type="dxa"/>
            <w:vAlign w:val="bottom"/>
          </w:tcPr>
          <w:p>
            <w:pPr>
              <w:jc w:val="center"/>
              <w:ind w:left="28"/>
              <w:spacing w:after="0" w:line="149" w:lineRule="exact"/>
              <w:rPr>
                <w:sz w:val="20"/>
                <w:szCs w:val="20"/>
                <w:color w:val="auto"/>
              </w:rPr>
            </w:pPr>
            <w:r>
              <w:rPr>
                <w:rFonts w:ascii="Arial" w:cs="Arial" w:eastAsia="Arial" w:hAnsi="Arial"/>
                <w:sz w:val="14"/>
                <w:szCs w:val="14"/>
                <w:b w:val="1"/>
                <w:bCs w:val="1"/>
                <w:color w:val="auto"/>
                <w:w w:val="90"/>
              </w:rPr>
              <w:t>vote or to</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w w:val="88"/>
              </w:rPr>
              <w:t>dispose or to</w:t>
            </w:r>
          </w:p>
        </w:tc>
        <w:tc>
          <w:tcPr>
            <w:tcW w:w="1140" w:type="dxa"/>
            <w:vAlign w:val="bottom"/>
            <w:gridSpan w:val="2"/>
            <w:vMerge w:val="continue"/>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9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Reporting</w:t>
            </w:r>
          </w:p>
        </w:tc>
        <w:tc>
          <w:tcPr>
            <w:tcW w:w="20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1260" w:type="dxa"/>
            <w:vAlign w:val="bottom"/>
            <w:gridSpan w:val="2"/>
            <w:vMerge w:val="restart"/>
          </w:tcPr>
          <w:p>
            <w:pPr>
              <w:jc w:val="right"/>
              <w:ind w:right="600"/>
              <w:spacing w:after="0"/>
              <w:rPr>
                <w:sz w:val="20"/>
                <w:szCs w:val="20"/>
                <w:color w:val="auto"/>
              </w:rPr>
            </w:pPr>
            <w:r>
              <w:rPr>
                <w:rFonts w:ascii="Arial" w:cs="Arial" w:eastAsia="Arial" w:hAnsi="Arial"/>
                <w:sz w:val="14"/>
                <w:szCs w:val="14"/>
                <w:b w:val="1"/>
                <w:bCs w:val="1"/>
                <w:color w:val="auto"/>
              </w:rPr>
              <w:t>Percent</w:t>
            </w:r>
          </w:p>
        </w:tc>
        <w:tc>
          <w:tcPr>
            <w:tcW w:w="114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3"/>
              </w:rPr>
              <w:t>to vote or</w:t>
            </w:r>
          </w:p>
        </w:tc>
        <w:tc>
          <w:tcPr>
            <w:tcW w:w="760" w:type="dxa"/>
            <w:vAlign w:val="bottom"/>
          </w:tcPr>
          <w:p>
            <w:pPr>
              <w:jc w:val="center"/>
              <w:ind w:left="48"/>
              <w:spacing w:after="0" w:line="149" w:lineRule="exact"/>
              <w:rPr>
                <w:sz w:val="20"/>
                <w:szCs w:val="20"/>
                <w:color w:val="auto"/>
              </w:rPr>
            </w:pPr>
            <w:r>
              <w:rPr>
                <w:rFonts w:ascii="Arial" w:cs="Arial" w:eastAsia="Arial" w:hAnsi="Arial"/>
                <w:sz w:val="14"/>
                <w:szCs w:val="14"/>
                <w:b w:val="1"/>
                <w:bCs w:val="1"/>
                <w:color w:val="auto"/>
                <w:w w:val="94"/>
              </w:rPr>
              <w:t>direct</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w w:val="91"/>
              </w:rPr>
              <w:t>direct the</w:t>
            </w:r>
          </w:p>
        </w:tc>
        <w:tc>
          <w:tcPr>
            <w:tcW w:w="1140" w:type="dxa"/>
            <w:vAlign w:val="bottom"/>
            <w:gridSpan w:val="2"/>
          </w:tcPr>
          <w:p>
            <w:pPr>
              <w:jc w:val="right"/>
              <w:ind w:right="320"/>
              <w:spacing w:after="0" w:line="149" w:lineRule="exact"/>
              <w:rPr>
                <w:sz w:val="20"/>
                <w:szCs w:val="20"/>
                <w:color w:val="auto"/>
              </w:rPr>
            </w:pPr>
            <w:r>
              <w:rPr>
                <w:rFonts w:ascii="Arial" w:cs="Arial" w:eastAsia="Arial" w:hAnsi="Arial"/>
                <w:sz w:val="14"/>
                <w:szCs w:val="14"/>
                <w:b w:val="1"/>
                <w:bCs w:val="1"/>
                <w:color w:val="auto"/>
                <w:w w:val="90"/>
              </w:rPr>
              <w:t>to dispose or</w:t>
            </w:r>
          </w:p>
        </w:tc>
        <w:tc>
          <w:tcPr>
            <w:tcW w:w="108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5"/>
              </w:rPr>
              <w:t>of aggregate</w:t>
            </w:r>
          </w:p>
        </w:tc>
        <w:tc>
          <w:tcPr>
            <w:tcW w:w="0" w:type="dxa"/>
            <w:vAlign w:val="bottom"/>
          </w:tcPr>
          <w:p>
            <w:pPr>
              <w:spacing w:after="0"/>
              <w:rPr>
                <w:sz w:val="1"/>
                <w:szCs w:val="1"/>
                <w:color w:val="auto"/>
              </w:rPr>
            </w:pPr>
          </w:p>
        </w:tc>
      </w:tr>
      <w:tr>
        <w:trPr>
          <w:trHeight w:val="144"/>
        </w:trPr>
        <w:tc>
          <w:tcPr>
            <w:tcW w:w="960" w:type="dxa"/>
            <w:vAlign w:val="bottom"/>
            <w:gridSpan w:val="2"/>
            <w:vMerge w:val="continue"/>
          </w:tcPr>
          <w:p>
            <w:pPr>
              <w:spacing w:after="0"/>
              <w:rPr>
                <w:sz w:val="12"/>
                <w:szCs w:val="12"/>
                <w:color w:val="auto"/>
              </w:rPr>
            </w:pPr>
          </w:p>
        </w:tc>
        <w:tc>
          <w:tcPr>
            <w:tcW w:w="2000" w:type="dxa"/>
            <w:vAlign w:val="bottom"/>
          </w:tcPr>
          <w:p>
            <w:pPr>
              <w:spacing w:after="0"/>
              <w:rPr>
                <w:sz w:val="12"/>
                <w:szCs w:val="12"/>
                <w:color w:val="auto"/>
              </w:rPr>
            </w:pPr>
          </w:p>
        </w:tc>
        <w:tc>
          <w:tcPr>
            <w:tcW w:w="1140" w:type="dxa"/>
            <w:vAlign w:val="bottom"/>
            <w:gridSpan w:val="2"/>
          </w:tcPr>
          <w:p>
            <w:pPr>
              <w:jc w:val="center"/>
              <w:ind w:right="280"/>
              <w:spacing w:after="0" w:line="145" w:lineRule="exact"/>
              <w:rPr>
                <w:sz w:val="20"/>
                <w:szCs w:val="20"/>
                <w:color w:val="auto"/>
              </w:rPr>
            </w:pPr>
            <w:r>
              <w:rPr>
                <w:rFonts w:ascii="Arial" w:cs="Arial" w:eastAsia="Arial" w:hAnsi="Arial"/>
                <w:sz w:val="14"/>
                <w:szCs w:val="14"/>
                <w:b w:val="1"/>
                <w:bCs w:val="1"/>
                <w:color w:val="auto"/>
                <w:w w:val="91"/>
              </w:rPr>
              <w:t>beneficially</w:t>
            </w:r>
          </w:p>
        </w:tc>
        <w:tc>
          <w:tcPr>
            <w:tcW w:w="1260" w:type="dxa"/>
            <w:vAlign w:val="bottom"/>
            <w:gridSpan w:val="2"/>
            <w:vMerge w:val="continue"/>
          </w:tcPr>
          <w:p>
            <w:pPr>
              <w:spacing w:after="0"/>
              <w:rPr>
                <w:sz w:val="12"/>
                <w:szCs w:val="12"/>
                <w:color w:val="auto"/>
              </w:rPr>
            </w:pPr>
          </w:p>
        </w:tc>
        <w:tc>
          <w:tcPr>
            <w:tcW w:w="1140" w:type="dxa"/>
            <w:vAlign w:val="bottom"/>
            <w:gridSpan w:val="2"/>
          </w:tcPr>
          <w:p>
            <w:pPr>
              <w:jc w:val="center"/>
              <w:ind w:right="260"/>
              <w:spacing w:after="0" w:line="145" w:lineRule="exact"/>
              <w:rPr>
                <w:sz w:val="20"/>
                <w:szCs w:val="20"/>
                <w:color w:val="auto"/>
              </w:rPr>
            </w:pPr>
            <w:r>
              <w:rPr>
                <w:rFonts w:ascii="Arial" w:cs="Arial" w:eastAsia="Arial" w:hAnsi="Arial"/>
                <w:sz w:val="14"/>
                <w:szCs w:val="14"/>
                <w:b w:val="1"/>
                <w:bCs w:val="1"/>
                <w:color w:val="auto"/>
                <w:w w:val="94"/>
              </w:rPr>
              <w:t>direct to</w:t>
            </w:r>
          </w:p>
        </w:tc>
        <w:tc>
          <w:tcPr>
            <w:tcW w:w="760" w:type="dxa"/>
            <w:vAlign w:val="bottom"/>
          </w:tcPr>
          <w:p>
            <w:pPr>
              <w:jc w:val="center"/>
              <w:ind w:left="48"/>
              <w:spacing w:after="0" w:line="145" w:lineRule="exact"/>
              <w:rPr>
                <w:sz w:val="20"/>
                <w:szCs w:val="20"/>
                <w:color w:val="auto"/>
              </w:rPr>
            </w:pPr>
            <w:r>
              <w:rPr>
                <w:rFonts w:ascii="Arial" w:cs="Arial" w:eastAsia="Arial" w:hAnsi="Arial"/>
                <w:sz w:val="14"/>
                <w:szCs w:val="14"/>
                <w:b w:val="1"/>
                <w:bCs w:val="1"/>
                <w:color w:val="auto"/>
                <w:w w:val="95"/>
              </w:rPr>
              <w:t>the</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5" w:lineRule="exact"/>
              <w:rPr>
                <w:sz w:val="20"/>
                <w:szCs w:val="20"/>
                <w:color w:val="auto"/>
              </w:rPr>
            </w:pPr>
            <w:r>
              <w:rPr>
                <w:rFonts w:ascii="Arial" w:cs="Arial" w:eastAsia="Arial" w:hAnsi="Arial"/>
                <w:sz w:val="14"/>
                <w:szCs w:val="14"/>
                <w:b w:val="1"/>
                <w:bCs w:val="1"/>
                <w:color w:val="auto"/>
                <w:w w:val="88"/>
              </w:rPr>
              <w:t>disposition</w:t>
            </w:r>
          </w:p>
        </w:tc>
        <w:tc>
          <w:tcPr>
            <w:tcW w:w="1140" w:type="dxa"/>
            <w:vAlign w:val="bottom"/>
            <w:gridSpan w:val="2"/>
          </w:tcPr>
          <w:p>
            <w:pPr>
              <w:jc w:val="right"/>
              <w:ind w:right="340"/>
              <w:spacing w:after="0" w:line="145" w:lineRule="exact"/>
              <w:rPr>
                <w:sz w:val="20"/>
                <w:szCs w:val="20"/>
                <w:color w:val="auto"/>
              </w:rPr>
            </w:pPr>
            <w:r>
              <w:rPr>
                <w:rFonts w:ascii="Arial" w:cs="Arial" w:eastAsia="Arial" w:hAnsi="Arial"/>
                <w:sz w:val="14"/>
                <w:szCs w:val="14"/>
                <w:b w:val="1"/>
                <w:bCs w:val="1"/>
                <w:color w:val="auto"/>
                <w:w w:val="97"/>
              </w:rPr>
              <w:t>to direct the</w:t>
            </w:r>
          </w:p>
        </w:tc>
        <w:tc>
          <w:tcPr>
            <w:tcW w:w="1080" w:type="dxa"/>
            <w:vAlign w:val="bottom"/>
            <w:gridSpan w:val="2"/>
          </w:tcPr>
          <w:p>
            <w:pPr>
              <w:jc w:val="center"/>
              <w:ind w:right="220"/>
              <w:spacing w:after="0" w:line="145" w:lineRule="exact"/>
              <w:rPr>
                <w:sz w:val="20"/>
                <w:szCs w:val="20"/>
                <w:color w:val="auto"/>
              </w:rPr>
            </w:pPr>
            <w:r>
              <w:rPr>
                <w:rFonts w:ascii="Arial" w:cs="Arial" w:eastAsia="Arial" w:hAnsi="Arial"/>
                <w:sz w:val="14"/>
                <w:szCs w:val="14"/>
                <w:b w:val="1"/>
                <w:bCs w:val="1"/>
                <w:color w:val="auto"/>
                <w:w w:val="90"/>
              </w:rPr>
              <w:t>voting</w:t>
            </w:r>
          </w:p>
        </w:tc>
        <w:tc>
          <w:tcPr>
            <w:tcW w:w="0" w:type="dxa"/>
            <w:vAlign w:val="bottom"/>
          </w:tcPr>
          <w:p>
            <w:pPr>
              <w:spacing w:after="0"/>
              <w:rPr>
                <w:sz w:val="1"/>
                <w:szCs w:val="1"/>
                <w:color w:val="auto"/>
              </w:rPr>
            </w:pPr>
          </w:p>
        </w:tc>
      </w:tr>
      <w:tr>
        <w:trPr>
          <w:trHeight w:val="162"/>
        </w:trPr>
        <w:tc>
          <w:tcPr>
            <w:tcW w:w="64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w w:val="99"/>
              </w:rPr>
              <w:t>Person</w:t>
            </w:r>
            <w:r>
              <w:rPr>
                <w:rFonts w:ascii="Arial" w:cs="Arial" w:eastAsia="Arial" w:hAnsi="Arial"/>
                <w:sz w:val="12"/>
                <w:szCs w:val="12"/>
                <w:b w:val="1"/>
                <w:bCs w:val="1"/>
                <w:color w:val="auto"/>
                <w:w w:val="99"/>
              </w:rPr>
              <w:t>(1)</w:t>
            </w:r>
          </w:p>
        </w:tc>
        <w:tc>
          <w:tcPr>
            <w:tcW w:w="320" w:type="dxa"/>
            <w:vAlign w:val="bottom"/>
          </w:tcPr>
          <w:p>
            <w:pPr>
              <w:spacing w:after="0"/>
              <w:rPr>
                <w:sz w:val="14"/>
                <w:szCs w:val="14"/>
                <w:color w:val="auto"/>
              </w:rPr>
            </w:pPr>
          </w:p>
        </w:tc>
        <w:tc>
          <w:tcPr>
            <w:tcW w:w="2000" w:type="dxa"/>
            <w:vAlign w:val="bottom"/>
          </w:tcPr>
          <w:p>
            <w:pPr>
              <w:spacing w:after="0"/>
              <w:rPr>
                <w:sz w:val="14"/>
                <w:szCs w:val="14"/>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4"/>
                <w:szCs w:val="14"/>
                <w:b w:val="1"/>
                <w:bCs w:val="1"/>
                <w:color w:val="auto"/>
                <w:w w:val="91"/>
              </w:rPr>
              <w:t>owned</w:t>
            </w:r>
            <w:r>
              <w:rPr>
                <w:rFonts w:ascii="Arial" w:cs="Arial" w:eastAsia="Arial" w:hAnsi="Arial"/>
                <w:sz w:val="12"/>
                <w:szCs w:val="12"/>
                <w:b w:val="1"/>
                <w:bCs w:val="1"/>
                <w:color w:val="auto"/>
                <w:w w:val="91"/>
              </w:rPr>
              <w:t>(1)</w:t>
            </w:r>
          </w:p>
        </w:tc>
        <w:tc>
          <w:tcPr>
            <w:tcW w:w="12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of class</w:t>
            </w:r>
            <w:r>
              <w:rPr>
                <w:rFonts w:ascii="Arial" w:cs="Arial" w:eastAsia="Arial" w:hAnsi="Arial"/>
                <w:sz w:val="12"/>
                <w:szCs w:val="12"/>
                <w:b w:val="1"/>
                <w:bCs w:val="1"/>
                <w:color w:val="auto"/>
              </w:rPr>
              <w:t>(2)</w:t>
            </w:r>
          </w:p>
        </w:tc>
        <w:tc>
          <w:tcPr>
            <w:tcW w:w="114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91"/>
              </w:rPr>
              <w:t>vote</w:t>
            </w:r>
            <w:r>
              <w:rPr>
                <w:rFonts w:ascii="Arial" w:cs="Arial" w:eastAsia="Arial" w:hAnsi="Arial"/>
                <w:sz w:val="12"/>
                <w:szCs w:val="12"/>
                <w:b w:val="1"/>
                <w:bCs w:val="1"/>
                <w:color w:val="auto"/>
                <w:w w:val="91"/>
              </w:rPr>
              <w:t>(1)</w:t>
            </w:r>
          </w:p>
        </w:tc>
        <w:tc>
          <w:tcPr>
            <w:tcW w:w="760" w:type="dxa"/>
            <w:vAlign w:val="bottom"/>
          </w:tcPr>
          <w:p>
            <w:pPr>
              <w:jc w:val="center"/>
              <w:ind w:left="28"/>
              <w:spacing w:after="0"/>
              <w:rPr>
                <w:sz w:val="20"/>
                <w:szCs w:val="20"/>
                <w:color w:val="auto"/>
              </w:rPr>
            </w:pPr>
            <w:r>
              <w:rPr>
                <w:rFonts w:ascii="Arial" w:cs="Arial" w:eastAsia="Arial" w:hAnsi="Arial"/>
                <w:sz w:val="14"/>
                <w:szCs w:val="14"/>
                <w:b w:val="1"/>
                <w:bCs w:val="1"/>
                <w:color w:val="auto"/>
                <w:w w:val="90"/>
              </w:rPr>
              <w:t>vote</w:t>
            </w:r>
          </w:p>
        </w:tc>
        <w:tc>
          <w:tcPr>
            <w:tcW w:w="1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4"/>
                <w:szCs w:val="14"/>
                <w:b w:val="1"/>
                <w:bCs w:val="1"/>
                <w:color w:val="auto"/>
                <w:w w:val="93"/>
              </w:rPr>
              <w:t>of</w:t>
            </w:r>
            <w:r>
              <w:rPr>
                <w:rFonts w:ascii="Arial" w:cs="Arial" w:eastAsia="Arial" w:hAnsi="Arial"/>
                <w:sz w:val="12"/>
                <w:szCs w:val="12"/>
                <w:b w:val="1"/>
                <w:bCs w:val="1"/>
                <w:color w:val="auto"/>
                <w:w w:val="93"/>
              </w:rPr>
              <w:t>(1)</w:t>
            </w:r>
          </w:p>
        </w:tc>
        <w:tc>
          <w:tcPr>
            <w:tcW w:w="1140" w:type="dxa"/>
            <w:vAlign w:val="bottom"/>
            <w:gridSpan w:val="2"/>
          </w:tcPr>
          <w:p>
            <w:pPr>
              <w:jc w:val="right"/>
              <w:ind w:right="300"/>
              <w:spacing w:after="0"/>
              <w:rPr>
                <w:sz w:val="20"/>
                <w:szCs w:val="20"/>
                <w:color w:val="auto"/>
              </w:rPr>
            </w:pPr>
            <w:r>
              <w:rPr>
                <w:rFonts w:ascii="Arial" w:cs="Arial" w:eastAsia="Arial" w:hAnsi="Arial"/>
                <w:sz w:val="14"/>
                <w:szCs w:val="14"/>
                <w:b w:val="1"/>
                <w:bCs w:val="1"/>
                <w:color w:val="auto"/>
                <w:w w:val="89"/>
              </w:rPr>
              <w:t>disposition of</w:t>
            </w:r>
          </w:p>
        </w:tc>
        <w:tc>
          <w:tcPr>
            <w:tcW w:w="10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2"/>
              </w:rPr>
              <w:t>power</w:t>
            </w:r>
            <w:r>
              <w:rPr>
                <w:rFonts w:ascii="Arial" w:cs="Arial" w:eastAsia="Arial" w:hAnsi="Arial"/>
                <w:sz w:val="12"/>
                <w:szCs w:val="12"/>
                <w:b w:val="1"/>
                <w:bCs w:val="1"/>
                <w:color w:val="auto"/>
                <w:w w:val="92"/>
              </w:rPr>
              <w:t>(3)</w:t>
            </w:r>
          </w:p>
        </w:tc>
        <w:tc>
          <w:tcPr>
            <w:tcW w:w="0" w:type="dxa"/>
            <w:vAlign w:val="bottom"/>
          </w:tcPr>
          <w:p>
            <w:pPr>
              <w:spacing w:after="0"/>
              <w:rPr>
                <w:sz w:val="1"/>
                <w:szCs w:val="1"/>
                <w:color w:val="auto"/>
              </w:rPr>
            </w:pPr>
          </w:p>
        </w:tc>
      </w:tr>
      <w:tr>
        <w:trPr>
          <w:trHeight w:val="20"/>
        </w:trPr>
        <w:tc>
          <w:tcPr>
            <w:tcW w:w="9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Jiayuan Lin</w:t>
            </w:r>
          </w:p>
        </w:tc>
        <w:tc>
          <w:tcPr>
            <w:tcW w:w="2000" w:type="dxa"/>
            <w:vAlign w:val="bottom"/>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40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vMerge w:val="restart"/>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30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960" w:type="dxa"/>
            <w:vAlign w:val="bottom"/>
            <w:gridSpan w:val="2"/>
            <w:vMerge w:val="continue"/>
            <w:shd w:val="clear" w:color="auto" w:fill="CCEEFF"/>
          </w:tcPr>
          <w:p>
            <w:pPr>
              <w:spacing w:after="0"/>
              <w:rPr>
                <w:sz w:val="17"/>
                <w:szCs w:val="17"/>
                <w:color w:val="auto"/>
              </w:rPr>
            </w:pPr>
          </w:p>
        </w:tc>
        <w:tc>
          <w:tcPr>
            <w:tcW w:w="2000" w:type="dxa"/>
            <w:vAlign w:val="bottom"/>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3"/>
              </w:rPr>
              <w:t>39,948,545</w:t>
            </w:r>
          </w:p>
        </w:tc>
        <w:tc>
          <w:tcPr>
            <w:tcW w:w="280" w:type="dxa"/>
            <w:vAlign w:val="bottom"/>
            <w:vMerge w:val="continue"/>
            <w:shd w:val="clear" w:color="auto" w:fill="CCEEFF"/>
          </w:tcPr>
          <w:p>
            <w:pPr>
              <w:spacing w:after="0"/>
              <w:rPr>
                <w:sz w:val="17"/>
                <w:szCs w:val="17"/>
                <w:color w:val="auto"/>
              </w:rPr>
            </w:pPr>
          </w:p>
        </w:tc>
        <w:tc>
          <w:tcPr>
            <w:tcW w:w="1260" w:type="dxa"/>
            <w:vAlign w:val="bottom"/>
            <w:gridSpan w:val="2"/>
            <w:shd w:val="clear" w:color="auto" w:fill="CCEEFF"/>
          </w:tcPr>
          <w:p>
            <w:pPr>
              <w:jc w:val="right"/>
              <w:ind w:right="240"/>
              <w:spacing w:after="0" w:line="203" w:lineRule="exact"/>
              <w:rPr>
                <w:sz w:val="20"/>
                <w:szCs w:val="20"/>
                <w:color w:val="auto"/>
              </w:rPr>
            </w:pPr>
            <w:r>
              <w:rPr>
                <w:rFonts w:ascii="Arial" w:cs="Arial" w:eastAsia="Arial" w:hAnsi="Arial"/>
                <w:sz w:val="18"/>
                <w:szCs w:val="18"/>
                <w:color w:val="auto"/>
              </w:rPr>
              <w:t>15.0%</w:t>
            </w:r>
          </w:p>
        </w:tc>
        <w:tc>
          <w:tcPr>
            <w:tcW w:w="88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5"/>
              </w:rPr>
              <w:t>39,948,545</w:t>
            </w:r>
          </w:p>
        </w:tc>
        <w:tc>
          <w:tcPr>
            <w:tcW w:w="260" w:type="dxa"/>
            <w:vAlign w:val="bottom"/>
            <w:vMerge w:val="continue"/>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ind w:left="20"/>
              <w:spacing w:after="0"/>
              <w:rPr>
                <w:sz w:val="20"/>
                <w:szCs w:val="20"/>
                <w:color w:val="auto"/>
              </w:rPr>
            </w:pPr>
            <w:r>
              <w:rPr>
                <w:rFonts w:ascii="Arial" w:cs="Arial" w:eastAsia="Arial" w:hAnsi="Arial"/>
                <w:sz w:val="15"/>
                <w:szCs w:val="15"/>
                <w:color w:val="auto"/>
                <w:w w:val="71"/>
              </w:rPr>
              <w:t>0</w:t>
            </w:r>
          </w:p>
        </w:tc>
        <w:tc>
          <w:tcPr>
            <w:tcW w:w="30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3"/>
              </w:rPr>
              <w:t>39,948,545</w:t>
            </w:r>
          </w:p>
        </w:tc>
        <w:tc>
          <w:tcPr>
            <w:tcW w:w="28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rPr>
              <w:t>0</w:t>
            </w:r>
          </w:p>
        </w:tc>
        <w:tc>
          <w:tcPr>
            <w:tcW w:w="280" w:type="dxa"/>
            <w:vAlign w:val="bottom"/>
            <w:vMerge w:val="continue"/>
            <w:shd w:val="clear" w:color="auto" w:fill="CCEEFF"/>
          </w:tcPr>
          <w:p>
            <w:pPr>
              <w:spacing w:after="0"/>
              <w:rPr>
                <w:sz w:val="17"/>
                <w:szCs w:val="17"/>
                <w:color w:val="auto"/>
              </w:rPr>
            </w:pPr>
          </w:p>
        </w:tc>
        <w:tc>
          <w:tcPr>
            <w:tcW w:w="1080" w:type="dxa"/>
            <w:vAlign w:val="bottom"/>
            <w:gridSpan w:val="2"/>
            <w:shd w:val="clear" w:color="auto" w:fill="CCEEFF"/>
          </w:tcPr>
          <w:p>
            <w:pPr>
              <w:jc w:val="right"/>
              <w:ind w:right="60"/>
              <w:spacing w:after="0" w:line="203" w:lineRule="exact"/>
              <w:rPr>
                <w:sz w:val="20"/>
                <w:szCs w:val="20"/>
                <w:color w:val="auto"/>
              </w:rPr>
            </w:pPr>
            <w:r>
              <w:rPr>
                <w:rFonts w:ascii="Arial" w:cs="Arial" w:eastAsia="Arial" w:hAnsi="Arial"/>
                <w:sz w:val="18"/>
                <w:szCs w:val="18"/>
                <w:color w:val="auto"/>
              </w:rPr>
              <w:t>41.3%</w:t>
            </w:r>
          </w:p>
        </w:tc>
        <w:tc>
          <w:tcPr>
            <w:tcW w:w="0" w:type="dxa"/>
            <w:vAlign w:val="bottom"/>
          </w:tcPr>
          <w:p>
            <w:pPr>
              <w:spacing w:after="0"/>
              <w:rPr>
                <w:sz w:val="1"/>
                <w:szCs w:val="1"/>
                <w:color w:val="auto"/>
              </w:rPr>
            </w:pPr>
          </w:p>
        </w:tc>
      </w:tr>
      <w:tr>
        <w:trPr>
          <w:trHeight w:val="216"/>
        </w:trPr>
        <w:tc>
          <w:tcPr>
            <w:tcW w:w="2960" w:type="dxa"/>
            <w:vAlign w:val="bottom"/>
            <w:gridSpan w:val="3"/>
          </w:tcPr>
          <w:p>
            <w:pPr>
              <w:spacing w:after="0"/>
              <w:rPr>
                <w:sz w:val="20"/>
                <w:szCs w:val="20"/>
                <w:color w:val="auto"/>
              </w:rPr>
            </w:pPr>
            <w:r>
              <w:rPr>
                <w:rFonts w:ascii="Arial" w:cs="Arial" w:eastAsia="Arial" w:hAnsi="Arial"/>
                <w:sz w:val="18"/>
                <w:szCs w:val="18"/>
                <w:color w:val="auto"/>
              </w:rPr>
              <w:t>Medway Brilliant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1</w:t>
            </w:r>
          </w:p>
        </w:tc>
        <w:tc>
          <w:tcPr>
            <w:tcW w:w="1260" w:type="dxa"/>
            <w:vAlign w:val="bottom"/>
            <w:gridSpan w:val="2"/>
          </w:tcPr>
          <w:p>
            <w:pPr>
              <w:jc w:val="right"/>
              <w:ind w:right="4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1</w:t>
            </w:r>
          </w:p>
        </w:tc>
        <w:tc>
          <w:tcPr>
            <w:tcW w:w="760" w:type="dxa"/>
            <w:vAlign w:val="bottom"/>
          </w:tcPr>
          <w:p>
            <w:pPr>
              <w:spacing w:after="0"/>
              <w:rPr>
                <w:sz w:val="18"/>
                <w:szCs w:val="18"/>
                <w:color w:val="auto"/>
              </w:rPr>
            </w:pPr>
          </w:p>
        </w:tc>
        <w:tc>
          <w:tcPr>
            <w:tcW w:w="400" w:type="dxa"/>
            <w:vAlign w:val="bottom"/>
            <w:gridSpan w:val="2"/>
          </w:tcPr>
          <w:p>
            <w:pPr>
              <w:ind w:left="2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rPr>
              <w:t>1</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9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Traveler Holdings Limited</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w w:val="95"/>
              </w:rPr>
              <w:t>37,444,496</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14.2%</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w w:val="95"/>
              </w:rPr>
              <w:t>37,444,496</w:t>
            </w:r>
          </w:p>
        </w:tc>
        <w:tc>
          <w:tcPr>
            <w:tcW w:w="7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0</w:t>
            </w:r>
          </w:p>
        </w:tc>
        <w:tc>
          <w:tcPr>
            <w:tcW w:w="11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w w:val="93"/>
              </w:rPr>
              <w:t>37,444,496</w:t>
            </w:r>
          </w:p>
        </w:tc>
        <w:tc>
          <w:tcPr>
            <w:tcW w:w="11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41.2%</w:t>
            </w:r>
          </w:p>
        </w:tc>
        <w:tc>
          <w:tcPr>
            <w:tcW w:w="0" w:type="dxa"/>
            <w:vAlign w:val="bottom"/>
          </w:tcPr>
          <w:p>
            <w:pPr>
              <w:spacing w:after="0"/>
              <w:rPr>
                <w:sz w:val="1"/>
                <w:szCs w:val="1"/>
                <w:color w:val="auto"/>
              </w:rPr>
            </w:pPr>
          </w:p>
        </w:tc>
      </w:tr>
      <w:tr>
        <w:trPr>
          <w:trHeight w:val="230"/>
        </w:trPr>
        <w:tc>
          <w:tcPr>
            <w:tcW w:w="2960" w:type="dxa"/>
            <w:vAlign w:val="bottom"/>
            <w:gridSpan w:val="3"/>
          </w:tcPr>
          <w:p>
            <w:pPr>
              <w:spacing w:after="0"/>
              <w:rPr>
                <w:sz w:val="20"/>
                <w:szCs w:val="20"/>
                <w:color w:val="auto"/>
              </w:rPr>
            </w:pPr>
            <w:r>
              <w:rPr>
                <w:rFonts w:ascii="Arial" w:cs="Arial" w:eastAsia="Arial" w:hAnsi="Arial"/>
                <w:sz w:val="18"/>
                <w:szCs w:val="18"/>
                <w:color w:val="auto"/>
              </w:rPr>
              <w:t>Traveler Enterprise</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w w:val="95"/>
              </w:rPr>
              <w:t>37,444,496</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14.2%</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w w:val="95"/>
              </w:rPr>
              <w:t>37,444,496</w:t>
            </w:r>
          </w:p>
        </w:tc>
        <w:tc>
          <w:tcPr>
            <w:tcW w:w="760" w:type="dxa"/>
            <w:vAlign w:val="bottom"/>
          </w:tcPr>
          <w:p>
            <w:pPr>
              <w:spacing w:after="0"/>
              <w:rPr>
                <w:sz w:val="20"/>
                <w:szCs w:val="20"/>
                <w:color w:val="auto"/>
              </w:rPr>
            </w:pPr>
          </w:p>
        </w:tc>
        <w:tc>
          <w:tcPr>
            <w:tcW w:w="400" w:type="dxa"/>
            <w:vAlign w:val="bottom"/>
            <w:gridSpan w:val="2"/>
          </w:tcPr>
          <w:p>
            <w:pPr>
              <w:ind w:left="2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w w:val="93"/>
              </w:rPr>
              <w:t>37,444,496</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41.2%</w:t>
            </w: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424" w:hanging="424"/>
        <w:spacing w:after="0"/>
        <w:tabs>
          <w:tab w:leader="none" w:pos="424" w:val="left"/>
        </w:tabs>
        <w:numPr>
          <w:ilvl w:val="0"/>
          <w:numId w:val="34"/>
        </w:numPr>
        <w:rPr>
          <w:rFonts w:ascii="Arial" w:cs="Arial" w:eastAsia="Arial" w:hAnsi="Arial"/>
          <w:sz w:val="18"/>
          <w:szCs w:val="18"/>
          <w:color w:val="auto"/>
        </w:rPr>
      </w:pPr>
      <w:r>
        <w:rPr>
          <w:rFonts w:ascii="Arial" w:cs="Arial" w:eastAsia="Arial" w:hAnsi="Arial"/>
          <w:sz w:val="18"/>
          <w:szCs w:val="18"/>
          <w:color w:val="auto"/>
        </w:rPr>
        <w:t>less than 0.1%.</w:t>
      </w:r>
    </w:p>
    <w:p>
      <w:pPr>
        <w:spacing w:after="0" w:line="131" w:lineRule="exact"/>
        <w:rPr>
          <w:sz w:val="20"/>
          <w:szCs w:val="20"/>
          <w:color w:val="auto"/>
        </w:rPr>
      </w:pPr>
    </w:p>
    <w:p>
      <w:pPr>
        <w:ind w:left="424" w:right="20" w:hanging="424"/>
        <w:spacing w:after="0" w:line="254" w:lineRule="auto"/>
        <w:tabs>
          <w:tab w:leader="none" w:pos="424" w:val="left"/>
        </w:tabs>
        <w:numPr>
          <w:ilvl w:val="0"/>
          <w:numId w:val="35"/>
        </w:numPr>
        <w:rPr>
          <w:rFonts w:ascii="Arial" w:cs="Arial" w:eastAsia="Arial" w:hAnsi="Arial"/>
          <w:sz w:val="18"/>
          <w:szCs w:val="18"/>
          <w:color w:val="auto"/>
        </w:rPr>
      </w:pPr>
      <w:r>
        <w:rPr>
          <w:rFonts w:ascii="Arial" w:cs="Arial" w:eastAsia="Arial" w:hAnsi="Arial"/>
          <w:sz w:val="18"/>
          <w:szCs w:val="18"/>
          <w:color w:val="auto"/>
        </w:rPr>
        <w:t>As of December 31, 2021, Traveler Enterprise directly owned 34,702,890 Class B ordinary shares and beneficially owned 2,741,606 Class A ordinary shares represented by ADSs. Traveler Enterprise is wholly owned by Traveler Holdings Limited, which is in turn wholly owned by a trust of which Mr. Jiayuan Lin is the settlor and Mr. Jiayuan Lin and his family members are the beneficiaries. Under the terms of this trust, Mr. Jiayuan Lin has the power to direct the trustee with respect to the retention or disposal of, and the exercise of any voting and other rights attached to, the shares held by Traveler Enterprise in the Issuer. Accordingly, Traveler Holdings Limited and Mr. Jiayuan Lin may thereby be deemed to beneficially own the 34,702,890 Class B ordinary shares and 2,741,606 Class A ordinary shares represented by ADSs that are beneficially owned by Traveler Enterprise.</w:t>
      </w:r>
    </w:p>
    <w:p>
      <w:pPr>
        <w:spacing w:after="0" w:line="86" w:lineRule="exact"/>
        <w:rPr>
          <w:rFonts w:ascii="Arial" w:cs="Arial" w:eastAsia="Arial" w:hAnsi="Arial"/>
          <w:sz w:val="18"/>
          <w:szCs w:val="18"/>
          <w:color w:val="auto"/>
        </w:rPr>
      </w:pPr>
    </w:p>
    <w:p>
      <w:pPr>
        <w:ind w:left="444"/>
        <w:spacing w:after="0"/>
        <w:rPr>
          <w:rFonts w:ascii="Arial" w:cs="Arial" w:eastAsia="Arial" w:hAnsi="Arial"/>
          <w:sz w:val="18"/>
          <w:szCs w:val="18"/>
          <w:color w:val="auto"/>
        </w:rPr>
      </w:pPr>
      <w:r>
        <w:rPr>
          <w:rFonts w:ascii="Arial" w:cs="Arial" w:eastAsia="Arial" w:hAnsi="Arial"/>
          <w:sz w:val="18"/>
          <w:szCs w:val="18"/>
          <w:color w:val="auto"/>
        </w:rPr>
        <w:t>In addition, as of December 31, 2021, Medway Brilliant directly owned 1 Class A ordinary share. Medway Brilliant is wholly owned by</w:t>
      </w:r>
    </w:p>
    <w:p>
      <w:pPr>
        <w:spacing w:after="0" w:line="23" w:lineRule="exact"/>
        <w:rPr>
          <w:rFonts w:ascii="Arial" w:cs="Arial" w:eastAsia="Arial" w:hAnsi="Arial"/>
          <w:sz w:val="18"/>
          <w:szCs w:val="18"/>
          <w:color w:val="auto"/>
        </w:rPr>
      </w:pPr>
    </w:p>
    <w:p>
      <w:pPr>
        <w:ind w:left="444"/>
        <w:spacing w:after="0"/>
        <w:rPr>
          <w:rFonts w:ascii="Arial" w:cs="Arial" w:eastAsia="Arial" w:hAnsi="Arial"/>
          <w:sz w:val="18"/>
          <w:szCs w:val="18"/>
          <w:color w:val="auto"/>
        </w:rPr>
      </w:pPr>
      <w:r>
        <w:rPr>
          <w:rFonts w:ascii="Arial" w:cs="Arial" w:eastAsia="Arial" w:hAnsi="Arial"/>
          <w:sz w:val="17"/>
          <w:szCs w:val="17"/>
          <w:color w:val="auto"/>
        </w:rPr>
        <w:t>Mr. Jiayuan Lin. Accordingly, Mr. Jiayuan Lin may thereby be deemed to beneficially own 1 Class A ordinary share held by Medway Brilliant.</w:t>
      </w:r>
    </w:p>
    <w:p>
      <w:pPr>
        <w:spacing w:after="0" w:line="114" w:lineRule="exact"/>
        <w:rPr>
          <w:rFonts w:ascii="Arial" w:cs="Arial" w:eastAsia="Arial" w:hAnsi="Arial"/>
          <w:sz w:val="18"/>
          <w:szCs w:val="18"/>
          <w:color w:val="auto"/>
        </w:rPr>
      </w:pPr>
    </w:p>
    <w:p>
      <w:pPr>
        <w:ind w:left="444" w:right="200"/>
        <w:spacing w:after="0" w:line="277" w:lineRule="auto"/>
        <w:rPr>
          <w:rFonts w:ascii="Arial" w:cs="Arial" w:eastAsia="Arial" w:hAnsi="Arial"/>
          <w:sz w:val="18"/>
          <w:szCs w:val="18"/>
          <w:color w:val="auto"/>
        </w:rPr>
      </w:pPr>
      <w:r>
        <w:rPr>
          <w:rFonts w:ascii="Arial" w:cs="Arial" w:eastAsia="Arial" w:hAnsi="Arial"/>
          <w:sz w:val="18"/>
          <w:szCs w:val="18"/>
          <w:color w:val="auto"/>
        </w:rPr>
        <w:t>Mr. Jiayuan Lin also has the right to acquire 2,504,048 Class A ordinary shares within 60 days after December 31, 2021 pursuant to the terms of the options granted to him under the Issuer’s share incentive plan.</w:t>
      </w:r>
    </w:p>
    <w:p>
      <w:pPr>
        <w:spacing w:after="0" w:line="75" w:lineRule="exact"/>
        <w:rPr>
          <w:rFonts w:ascii="Arial" w:cs="Arial" w:eastAsia="Arial" w:hAnsi="Arial"/>
          <w:sz w:val="18"/>
          <w:szCs w:val="18"/>
          <w:color w:val="auto"/>
        </w:rPr>
      </w:pPr>
    </w:p>
    <w:p>
      <w:pPr>
        <w:ind w:left="424" w:right="20" w:hanging="424"/>
        <w:spacing w:after="0" w:line="287" w:lineRule="auto"/>
        <w:tabs>
          <w:tab w:leader="none" w:pos="424" w:val="left"/>
        </w:tabs>
        <w:numPr>
          <w:ilvl w:val="0"/>
          <w:numId w:val="35"/>
        </w:numPr>
        <w:rPr>
          <w:rFonts w:ascii="Arial" w:cs="Arial" w:eastAsia="Arial" w:hAnsi="Arial"/>
          <w:sz w:val="16"/>
          <w:szCs w:val="16"/>
          <w:color w:val="auto"/>
        </w:rPr>
      </w:pPr>
      <w:r>
        <w:rPr>
          <w:rFonts w:ascii="Arial" w:cs="Arial" w:eastAsia="Arial" w:hAnsi="Arial"/>
          <w:sz w:val="16"/>
          <w:szCs w:val="16"/>
          <w:color w:val="auto"/>
        </w:rPr>
        <w:t>The percentage of the class of securities beneficially owned by the reporting persons is calculated based on 229,831,213 Class A ordinary shares of the Issuer issued and outstanding as of December 31, 2021 and 34,702,890 Class B ordinary shares held by the applicable reporting persons that were convertible into the same number of Class A ordinary shares at any time by such reporting persons as of December 31, 2021.</w:t>
      </w:r>
    </w:p>
    <w:p>
      <w:pPr>
        <w:spacing w:after="0" w:line="2" w:lineRule="exact"/>
        <w:rPr>
          <w:rFonts w:ascii="Arial" w:cs="Arial" w:eastAsia="Arial" w:hAnsi="Arial"/>
          <w:sz w:val="16"/>
          <w:szCs w:val="16"/>
          <w:color w:val="auto"/>
        </w:rPr>
      </w:pPr>
    </w:p>
    <w:p>
      <w:pPr>
        <w:ind w:left="424" w:right="120" w:hanging="424"/>
        <w:spacing w:after="0" w:line="292" w:lineRule="auto"/>
        <w:tabs>
          <w:tab w:leader="none" w:pos="424" w:val="left"/>
        </w:tabs>
        <w:numPr>
          <w:ilvl w:val="0"/>
          <w:numId w:val="35"/>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54" w:lineRule="exact"/>
        <w:rPr>
          <w:rFonts w:ascii="Arial" w:cs="Arial" w:eastAsia="Arial" w:hAnsi="Arial"/>
          <w:sz w:val="16"/>
          <w:szCs w:val="16"/>
          <w:color w:val="auto"/>
        </w:rPr>
      </w:pPr>
    </w:p>
    <w:p>
      <w:pPr>
        <w:ind w:left="444" w:right="40"/>
        <w:spacing w:after="0" w:line="259" w:lineRule="auto"/>
        <w:rPr>
          <w:rFonts w:ascii="Arial" w:cs="Arial" w:eastAsia="Arial" w:hAnsi="Arial"/>
          <w:sz w:val="16"/>
          <w:szCs w:val="16"/>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86.7% of the aggregate voting power of the Issuer’s issued and outstanding share capital.</w:t>
      </w:r>
    </w:p>
    <w:p>
      <w:pPr>
        <w:spacing w:after="0" w:line="331"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Ownership of Five Percent or Less of a Class.</w:t>
      </w:r>
    </w:p>
    <w:p>
      <w:pPr>
        <w:spacing w:after="0" w:line="121" w:lineRule="exact"/>
        <w:rPr>
          <w:sz w:val="20"/>
          <w:szCs w:val="20"/>
          <w:color w:val="auto"/>
        </w:rPr>
      </w:pPr>
    </w:p>
    <w:p>
      <w:pPr>
        <w:ind w:left="984" w:right="14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a reporting person has ceased to be the beneficial owner of more than 5 percent of the class of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w:t>
      </w:r>
    </w:p>
    <w:p>
      <w:pPr>
        <w:spacing w:after="0" w:line="74"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As of the date hereof, Medway Brilliant has ceased to be the beneficial owner of more than 5 percent of the class of securities.</w:t>
      </w:r>
    </w:p>
    <w:p>
      <w:pPr>
        <w:spacing w:after="0" w:line="370"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Ownership of More Than Five Percent on Behalf of Another Person.</w:t>
      </w:r>
    </w:p>
    <w:p>
      <w:pPr>
        <w:spacing w:after="0" w:line="121" w:lineRule="exact"/>
        <w:rPr>
          <w:sz w:val="20"/>
          <w:szCs w:val="20"/>
          <w:color w:val="auto"/>
        </w:rPr>
      </w:pPr>
    </w:p>
    <w:p>
      <w:pPr>
        <w:ind w:left="984"/>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jc w:val="center"/>
        <w:ind w:right="-3"/>
        <w:spacing w:after="0"/>
        <w:rPr>
          <w:sz w:val="20"/>
          <w:szCs w:val="20"/>
          <w:color w:val="auto"/>
        </w:rPr>
      </w:pPr>
      <w:r>
        <w:rPr>
          <w:rFonts w:ascii="Arial" w:cs="Arial" w:eastAsia="Arial" w:hAnsi="Arial"/>
          <w:sz w:val="18"/>
          <w:szCs w:val="18"/>
          <w:color w:val="auto"/>
        </w:rPr>
        <w:t>Page 7 of 10</w:t>
      </w:r>
    </w:p>
    <w:p>
      <w:pPr>
        <w:sectPr>
          <w:pgSz w:w="11900" w:h="16838" w:orient="portrait"/>
          <w:cols w:equalWidth="0" w:num="1">
            <w:col w:w="11024"/>
          </w:cols>
          <w:pgMar w:left="436" w:top="270" w:right="439" w:bottom="1440" w:gutter="0" w:footer="0" w:header="0"/>
        </w:sectPr>
      </w:pPr>
    </w:p>
    <w:bookmarkStart w:id="7" w:name="page8"/>
    <w:bookmarkEnd w:id="7"/>
    <w:p>
      <w:pPr>
        <w:ind w:left="1080" w:hanging="1092"/>
        <w:spacing w:after="0" w:line="282" w:lineRule="auto"/>
        <w:tabs>
          <w:tab w:leader="none" w:pos="1060"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74865" cy="38100"/>
                    </a:xfrm>
                    <a:prstGeom prst="rect">
                      <a:avLst/>
                    </a:prstGeom>
                    <a:noFill/>
                  </pic:spPr>
                </pic:pic>
              </a:graphicData>
            </a:graphic>
          </wp:anchor>
        </w:drawing>
        <w:t>Item 7.</w:t>
      </w:r>
      <w:r>
        <w:rPr>
          <w:sz w:val="20"/>
          <w:szCs w:val="20"/>
          <w:color w:val="auto"/>
        </w:rPr>
        <w:tab/>
      </w:r>
      <w:r>
        <w:rPr>
          <w:rFonts w:ascii="Arial" w:cs="Arial" w:eastAsia="Arial" w:hAnsi="Arial"/>
          <w:sz w:val="18"/>
          <w:szCs w:val="18"/>
          <w:b w:val="1"/>
          <w:bCs w:val="1"/>
          <w:color w:val="auto"/>
        </w:rPr>
        <w:t>Identification and Classification of the Subsidiary Which Acquired the Security Being Reported on by the Parent Holding Company or Control Person.</w:t>
      </w:r>
    </w:p>
    <w:p>
      <w:pPr>
        <w:spacing w:after="0" w:line="58"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Identification and Classification of Members of the Group.</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Notice of Dissolution of Group.</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Certifications.</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ind w:left="5060"/>
        <w:spacing w:after="0"/>
        <w:rPr>
          <w:sz w:val="20"/>
          <w:szCs w:val="20"/>
          <w:color w:val="auto"/>
        </w:rPr>
      </w:pPr>
      <w:r>
        <w:rPr>
          <w:rFonts w:ascii="Arial" w:cs="Arial" w:eastAsia="Arial" w:hAnsi="Arial"/>
          <w:sz w:val="18"/>
          <w:szCs w:val="18"/>
          <w:color w:val="auto"/>
        </w:rPr>
        <w:t>Page 8 of 10</w:t>
      </w:r>
    </w:p>
    <w:p>
      <w:pPr>
        <w:sectPr>
          <w:pgSz w:w="11900" w:h="16838" w:orient="portrait"/>
          <w:cols w:equalWidth="0" w:num="1">
            <w:col w:w="10420"/>
          </w:cols>
          <w:pgMar w:left="440" w:top="270" w:right="1039" w:bottom="1440" w:gutter="0" w:footer="0" w:header="0"/>
        </w:sectPr>
      </w:pPr>
    </w:p>
    <w:bookmarkStart w:id="8" w:name="page9"/>
    <w:bookmarkEnd w:id="8"/>
    <w:p>
      <w:pPr>
        <w:jc w:val="cente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SIGNATURES</w:t>
      </w:r>
    </w:p>
    <w:p>
      <w:pPr>
        <w:spacing w:after="0" w:line="229" w:lineRule="exact"/>
        <w:rPr>
          <w:sz w:val="20"/>
          <w:szCs w:val="20"/>
          <w:color w:val="auto"/>
        </w:rPr>
      </w:pPr>
    </w:p>
    <w:p>
      <w:pPr>
        <w:ind w:right="480"/>
        <w:spacing w:after="0" w:line="277" w:lineRule="auto"/>
        <w:rPr>
          <w:sz w:val="20"/>
          <w:szCs w:val="20"/>
          <w:color w:val="auto"/>
        </w:rPr>
      </w:pPr>
      <w:r>
        <w:rPr>
          <w:rFonts w:ascii="Arial" w:cs="Arial" w:eastAsia="Arial" w:hAnsi="Arial"/>
          <w:sz w:val="18"/>
          <w:szCs w:val="18"/>
          <w:color w:val="auto"/>
        </w:rPr>
        <w:t>After reasonable inquiry and to the best of our knowledge and belief, the undersigned certify that the information set forth in this statement is true, complete and correct.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14,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Jiayuan Lin</w:t>
      </w:r>
    </w:p>
    <w:p>
      <w:pPr>
        <w:spacing w:after="0" w:line="229" w:lineRule="exact"/>
        <w:rPr>
          <w:sz w:val="20"/>
          <w:szCs w:val="20"/>
          <w:color w:val="auto"/>
        </w:rPr>
      </w:pPr>
    </w:p>
    <w:tbl>
      <w:tblPr>
        <w:tblLayout w:type="fixed"/>
        <w:tblInd w:w="66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Chief Executive Officer and Director</w:t>
            </w:r>
          </w:p>
        </w:tc>
      </w:tr>
      <w:tr>
        <w:trPr>
          <w:trHeight w:val="432"/>
        </w:trPr>
        <w:tc>
          <w:tcPr>
            <w:tcW w:w="4400" w:type="dxa"/>
            <w:vAlign w:val="bottom"/>
            <w:gridSpan w:val="2"/>
          </w:tcPr>
          <w:p>
            <w:pPr>
              <w:spacing w:after="0"/>
              <w:rPr>
                <w:sz w:val="20"/>
                <w:szCs w:val="20"/>
                <w:color w:val="auto"/>
              </w:rPr>
            </w:pPr>
            <w:r>
              <w:rPr>
                <w:rFonts w:ascii="Arial" w:cs="Arial" w:eastAsia="Arial" w:hAnsi="Arial"/>
                <w:sz w:val="18"/>
                <w:szCs w:val="18"/>
                <w:b w:val="1"/>
                <w:bCs w:val="1"/>
                <w:color w:val="auto"/>
              </w:rPr>
              <w:t>Medway Brilliant Holding Limited</w:t>
            </w:r>
          </w:p>
        </w:tc>
      </w:tr>
      <w:tr>
        <w:trPr>
          <w:trHeight w:val="432"/>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Authorized Signatory</w:t>
            </w:r>
          </w:p>
        </w:tc>
      </w:tr>
      <w:tr>
        <w:trPr>
          <w:trHeight w:val="432"/>
        </w:trPr>
        <w:tc>
          <w:tcPr>
            <w:tcW w:w="4400" w:type="dxa"/>
            <w:vAlign w:val="bottom"/>
            <w:gridSpan w:val="2"/>
          </w:tcPr>
          <w:p>
            <w:pPr>
              <w:spacing w:after="0"/>
              <w:rPr>
                <w:sz w:val="20"/>
                <w:szCs w:val="20"/>
                <w:color w:val="auto"/>
              </w:rPr>
            </w:pPr>
            <w:r>
              <w:rPr>
                <w:rFonts w:ascii="Arial" w:cs="Arial" w:eastAsia="Arial" w:hAnsi="Arial"/>
                <w:sz w:val="18"/>
                <w:szCs w:val="18"/>
                <w:b w:val="1"/>
                <w:bCs w:val="1"/>
                <w:color w:val="auto"/>
              </w:rPr>
              <w:t>Traveler Holdings Limited</w:t>
            </w:r>
          </w:p>
        </w:tc>
      </w:tr>
      <w:tr>
        <w:trPr>
          <w:trHeight w:val="432"/>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0"/>
              </w:rPr>
              <w:t>/s/ Shanica Maduro-Christopher and Joanne Turnbull</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w w:val="97"/>
              </w:rPr>
              <w:t>Rustem Limited represented by Shanica Maduro-</w:t>
            </w:r>
          </w:p>
        </w:tc>
      </w:tr>
      <w:tr>
        <w:trPr>
          <w:trHeight w:val="216"/>
        </w:trPr>
        <w:tc>
          <w:tcPr>
            <w:tcW w:w="56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Christopher and Joanne Turnbull</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Authorized Signatories</w:t>
            </w:r>
          </w:p>
        </w:tc>
      </w:tr>
    </w:tbl>
    <w:p>
      <w:pPr>
        <w:spacing w:after="0" w:line="19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Traveler Enterprise Limited</w:t>
      </w:r>
    </w:p>
    <w:p>
      <w:pPr>
        <w:spacing w:after="0" w:line="229" w:lineRule="exact"/>
        <w:rPr>
          <w:sz w:val="20"/>
          <w:szCs w:val="20"/>
          <w:color w:val="auto"/>
        </w:rPr>
      </w:pPr>
    </w:p>
    <w:p>
      <w:pPr>
        <w:ind w:left="6620"/>
        <w:spacing w:after="0"/>
        <w:tabs>
          <w:tab w:leader="none" w:pos="71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4558030</wp:posOffset>
            </wp:positionH>
            <wp:positionV relativeFrom="paragraph">
              <wp:posOffset>14605</wp:posOffset>
            </wp:positionV>
            <wp:extent cx="243459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43459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60" w:val="left"/>
        </w:tabs>
        <w:rPr>
          <w:sz w:val="20"/>
          <w:szCs w:val="20"/>
          <w:color w:val="auto"/>
        </w:rPr>
      </w:pPr>
      <w:r>
        <w:rPr>
          <w:rFonts w:ascii="Arial" w:cs="Arial" w:eastAsia="Arial" w:hAnsi="Arial"/>
          <w:sz w:val="18"/>
          <w:szCs w:val="18"/>
          <w:color w:val="auto"/>
        </w:rPr>
        <w:t>Title:</w:t>
        <w:tab/>
        <w:t>Authorized Signatory</w:t>
      </w:r>
    </w:p>
    <w:p>
      <w:pPr>
        <w:spacing w:after="0" w:line="14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Page 9 of 10</w:t>
      </w:r>
    </w:p>
    <w:p>
      <w:pPr>
        <w:sectPr>
          <w:pgSz w:w="11900" w:h="16838" w:orient="portrait"/>
          <w:cols w:equalWidth="0" w:num="1">
            <w:col w:w="11020"/>
          </w:cols>
          <w:pgMar w:left="440" w:top="270" w:right="439" w:bottom="1440" w:gutter="0" w:footer="0" w:header="0"/>
        </w:sectPr>
      </w:pPr>
    </w:p>
    <w:bookmarkStart w:id="9" w:name="page10"/>
    <w:bookmarkEnd w:id="9"/>
    <w:p>
      <w:pPr>
        <w:jc w:val="right"/>
        <w:ind w:right="38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EXHIBIT INDEX</w:t>
      </w:r>
    </w:p>
    <w:p>
      <w:pPr>
        <w:spacing w:after="0" w:line="251" w:lineRule="exact"/>
        <w:rPr>
          <w:sz w:val="20"/>
          <w:szCs w:val="20"/>
          <w:color w:val="auto"/>
        </w:rPr>
      </w:pPr>
    </w:p>
    <w:p>
      <w:pPr>
        <w:spacing w:after="0"/>
        <w:rPr>
          <w:sz w:val="20"/>
          <w:szCs w:val="20"/>
          <w:color w:val="auto"/>
        </w:rPr>
      </w:pPr>
      <w:r>
        <w:rPr>
          <w:rFonts w:ascii="Arial" w:cs="Arial" w:eastAsia="Arial" w:hAnsi="Arial"/>
          <w:sz w:val="14"/>
          <w:szCs w:val="14"/>
          <w:color w:val="auto"/>
        </w:rPr>
        <w:t>Exhibit</w:t>
      </w:r>
    </w:p>
    <w:p>
      <w:pPr>
        <w:ind w:left="100"/>
        <w:spacing w:after="0"/>
        <w:tabs>
          <w:tab w:leader="none" w:pos="820" w:val="left"/>
        </w:tabs>
        <w:rPr>
          <w:sz w:val="20"/>
          <w:szCs w:val="20"/>
          <w:color w:val="auto"/>
        </w:rPr>
      </w:pPr>
      <w:r>
        <w:rPr>
          <w:rFonts w:ascii="Arial" w:cs="Arial" w:eastAsia="Arial" w:hAnsi="Arial"/>
          <w:sz w:val="14"/>
          <w:szCs w:val="14"/>
          <w:color w:val="auto"/>
        </w:rPr>
        <w:t>No.</w:t>
      </w:r>
      <w:r>
        <w:rPr>
          <w:sz w:val="20"/>
          <w:szCs w:val="20"/>
          <w:color w:val="auto"/>
        </w:rPr>
        <w:tab/>
      </w:r>
      <w:r>
        <w:rPr>
          <w:rFonts w:ascii="Arial" w:cs="Arial" w:eastAsia="Arial" w:hAnsi="Arial"/>
          <w:sz w:val="14"/>
          <w:szCs w:val="14"/>
          <w:u w:val="single" w:color="auto"/>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-3175</wp:posOffset>
            </wp:positionV>
            <wp:extent cx="274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274320" cy="8255"/>
                    </a:xfrm>
                    <a:prstGeom prst="rect">
                      <a:avLst/>
                    </a:prstGeom>
                    <a:noFill/>
                  </pic:spPr>
                </pic:pic>
              </a:graphicData>
            </a:graphic>
          </wp:anchor>
        </w:drawing>
      </w:r>
    </w:p>
    <w:p>
      <w:pPr>
        <w:spacing w:after="0" w:line="81" w:lineRule="exact"/>
        <w:rPr>
          <w:sz w:val="20"/>
          <w:szCs w:val="20"/>
          <w:color w:val="auto"/>
        </w:rPr>
      </w:pPr>
    </w:p>
    <w:p>
      <w:pPr>
        <w:spacing w:after="0"/>
        <w:tabs>
          <w:tab w:leader="none" w:pos="820" w:val="left"/>
        </w:tabs>
        <w:rPr>
          <w:sz w:val="20"/>
          <w:szCs w:val="20"/>
          <w:color w:val="auto"/>
        </w:rPr>
      </w:pPr>
      <w:r>
        <w:rPr>
          <w:rFonts w:ascii="Arial" w:cs="Arial" w:eastAsia="Arial" w:hAnsi="Arial"/>
          <w:sz w:val="18"/>
          <w:szCs w:val="18"/>
          <w:color w:val="auto"/>
        </w:rPr>
        <w:t>99.1</w:t>
      </w:r>
      <w:r>
        <w:rPr>
          <w:sz w:val="20"/>
          <w:szCs w:val="20"/>
          <w:color w:val="auto"/>
        </w:rPr>
        <w:tab/>
      </w:r>
      <w:r>
        <w:rPr>
          <w:rFonts w:ascii="Arial" w:cs="Arial" w:eastAsia="Arial" w:hAnsi="Arial"/>
          <w:sz w:val="16"/>
          <w:szCs w:val="16"/>
          <w:color w:val="auto"/>
        </w:rPr>
        <w:t>Joint Filing Agreement</w:t>
      </w:r>
    </w:p>
    <w:p>
      <w:pPr>
        <w:spacing w:after="0" w:line="158" w:lineRule="exact"/>
        <w:rPr>
          <w:sz w:val="20"/>
          <w:szCs w:val="20"/>
          <w:color w:val="auto"/>
        </w:rPr>
      </w:pPr>
    </w:p>
    <w:p>
      <w:pPr>
        <w:ind w:left="5000"/>
        <w:spacing w:after="0"/>
        <w:rPr>
          <w:sz w:val="20"/>
          <w:szCs w:val="20"/>
          <w:color w:val="auto"/>
        </w:rPr>
      </w:pPr>
      <w:r>
        <w:rPr>
          <w:rFonts w:ascii="Arial" w:cs="Arial" w:eastAsia="Arial" w:hAnsi="Arial"/>
          <w:sz w:val="18"/>
          <w:szCs w:val="18"/>
          <w:color w:val="auto"/>
        </w:rPr>
        <w:t>Page 10 of 10</w:t>
      </w:r>
    </w:p>
    <w:p>
      <w:pPr>
        <w:sectPr>
          <w:pgSz w:w="11900" w:h="16838" w:orient="portrait"/>
          <w:cols w:equalWidth="0" w:num="1">
            <w:col w:w="10019"/>
          </w:cols>
          <w:pgMar w:left="440" w:top="270" w:right="1440"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Joint Filing Agreement</w:t>
      </w:r>
    </w:p>
    <w:p>
      <w:pPr>
        <w:spacing w:after="0" w:line="229" w:lineRule="exact"/>
        <w:rPr>
          <w:sz w:val="20"/>
          <w:szCs w:val="20"/>
          <w:color w:val="auto"/>
        </w:rPr>
      </w:pPr>
    </w:p>
    <w:p>
      <w:pPr>
        <w:ind w:right="100" w:firstLine="440"/>
        <w:spacing w:after="0" w:line="301" w:lineRule="auto"/>
        <w:rPr>
          <w:sz w:val="20"/>
          <w:szCs w:val="20"/>
          <w:color w:val="auto"/>
        </w:rPr>
      </w:pPr>
      <w:r>
        <w:rPr>
          <w:rFonts w:ascii="Arial" w:cs="Arial" w:eastAsia="Arial" w:hAnsi="Arial"/>
          <w:sz w:val="16"/>
          <w:szCs w:val="16"/>
          <w:color w:val="auto"/>
        </w:rPr>
        <w:t>In accordance with Rule 13d-1(k) promulgated under the Securities Exchange Act of 1934, as amended, the undersigned hereby agree to the joint filing on behalf of each of them of a statement on Schedule 13G (including amendments thereto) with respect to Class A ordinary shares, par value US$0.0001 per share, of Cango Inc., a Cayman Islands company, and that this Agreement may be included as an Exhibit to such joint filing. This Agreement may be executed in any number of counterparts, all of which taken together shall constitute one and the same instrument.</w:t>
      </w:r>
    </w:p>
    <w:p>
      <w:pPr>
        <w:spacing w:after="0" w:line="15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w:t>
      </w:r>
      <w:r>
        <w:rPr>
          <w:rFonts w:ascii="Arial" w:cs="Arial" w:eastAsia="Arial" w:hAnsi="Arial"/>
          <w:sz w:val="18"/>
          <w:szCs w:val="18"/>
          <w:i w:val="1"/>
          <w:iCs w:val="1"/>
          <w:color w:val="auto"/>
        </w:rPr>
        <w:t>Signature Page Follows</w:t>
      </w:r>
      <w:r>
        <w:rPr>
          <w:rFonts w:ascii="Arial" w:cs="Arial" w:eastAsia="Arial" w:hAnsi="Arial"/>
          <w:sz w:val="18"/>
          <w:szCs w:val="18"/>
          <w:color w:val="auto"/>
        </w:rPr>
        <w:t>]</w:t>
      </w:r>
    </w:p>
    <w:p>
      <w:pPr>
        <w:sectPr>
          <w:pgSz w:w="11900" w:h="16838" w:orient="portrait"/>
          <w:cols w:equalWidth="0" w:num="1">
            <w:col w:w="11020"/>
          </w:cols>
          <w:pgMar w:left="440" w:top="121" w:right="439" w:bottom="1440" w:gutter="0" w:footer="0" w:header="0"/>
        </w:sectPr>
      </w:pPr>
    </w:p>
    <w:bookmarkStart w:id="11" w:name="page12"/>
    <w:bookmarkEnd w:id="11"/>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IN WITNESS WHEREOF, the undersigned hereby execute this Agreement as of February 14,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Jiayuan Lin</w:t>
      </w:r>
    </w:p>
    <w:p>
      <w:pPr>
        <w:spacing w:after="0" w:line="229" w:lineRule="exact"/>
        <w:rPr>
          <w:sz w:val="20"/>
          <w:szCs w:val="20"/>
          <w:color w:val="auto"/>
        </w:rPr>
      </w:pPr>
    </w:p>
    <w:tbl>
      <w:tblPr>
        <w:tblLayout w:type="fixed"/>
        <w:tblInd w:w="66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Chief Executive Officer and Director</w:t>
            </w:r>
          </w:p>
        </w:tc>
      </w:tr>
      <w:tr>
        <w:trPr>
          <w:trHeight w:val="432"/>
        </w:trPr>
        <w:tc>
          <w:tcPr>
            <w:tcW w:w="4400" w:type="dxa"/>
            <w:vAlign w:val="bottom"/>
            <w:gridSpan w:val="2"/>
          </w:tcPr>
          <w:p>
            <w:pPr>
              <w:spacing w:after="0"/>
              <w:rPr>
                <w:sz w:val="20"/>
                <w:szCs w:val="20"/>
                <w:color w:val="auto"/>
              </w:rPr>
            </w:pPr>
            <w:r>
              <w:rPr>
                <w:rFonts w:ascii="Arial" w:cs="Arial" w:eastAsia="Arial" w:hAnsi="Arial"/>
                <w:sz w:val="18"/>
                <w:szCs w:val="18"/>
                <w:b w:val="1"/>
                <w:bCs w:val="1"/>
                <w:color w:val="auto"/>
              </w:rPr>
              <w:t>Medway Brilliant Holding Limited</w:t>
            </w:r>
          </w:p>
        </w:tc>
      </w:tr>
      <w:tr>
        <w:trPr>
          <w:trHeight w:val="432"/>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Authorized Signatory</w:t>
            </w:r>
          </w:p>
        </w:tc>
      </w:tr>
      <w:tr>
        <w:trPr>
          <w:trHeight w:val="432"/>
        </w:trPr>
        <w:tc>
          <w:tcPr>
            <w:tcW w:w="4400" w:type="dxa"/>
            <w:vAlign w:val="bottom"/>
            <w:gridSpan w:val="2"/>
          </w:tcPr>
          <w:p>
            <w:pPr>
              <w:spacing w:after="0"/>
              <w:rPr>
                <w:sz w:val="20"/>
                <w:szCs w:val="20"/>
                <w:color w:val="auto"/>
              </w:rPr>
            </w:pPr>
            <w:r>
              <w:rPr>
                <w:rFonts w:ascii="Arial" w:cs="Arial" w:eastAsia="Arial" w:hAnsi="Arial"/>
                <w:sz w:val="18"/>
                <w:szCs w:val="18"/>
                <w:b w:val="1"/>
                <w:bCs w:val="1"/>
                <w:color w:val="auto"/>
              </w:rPr>
              <w:t>Traveler Holdings Limited</w:t>
            </w:r>
          </w:p>
        </w:tc>
      </w:tr>
      <w:tr>
        <w:trPr>
          <w:trHeight w:val="432"/>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384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0"/>
              </w:rPr>
              <w:t>/s/ Shanica Maduro-Christopher and Joanne Turnbull</w:t>
            </w:r>
          </w:p>
        </w:tc>
      </w:tr>
      <w:tr>
        <w:trPr>
          <w:trHeight w:val="209"/>
        </w:trPr>
        <w:tc>
          <w:tcPr>
            <w:tcW w:w="560" w:type="dxa"/>
            <w:vAlign w:val="bottom"/>
          </w:tcPr>
          <w:p>
            <w:pPr>
              <w:spacing w:after="0"/>
              <w:rPr>
                <w:sz w:val="20"/>
                <w:szCs w:val="20"/>
                <w:color w:val="auto"/>
              </w:rPr>
            </w:pPr>
            <w:r>
              <w:rPr>
                <w:rFonts w:ascii="Arial" w:cs="Arial" w:eastAsia="Arial" w:hAnsi="Arial"/>
                <w:sz w:val="18"/>
                <w:szCs w:val="18"/>
                <w:color w:val="auto"/>
              </w:rPr>
              <w:t>Name:</w:t>
            </w:r>
          </w:p>
        </w:tc>
        <w:tc>
          <w:tcPr>
            <w:tcW w:w="3840" w:type="dxa"/>
            <w:vAlign w:val="bottom"/>
          </w:tcPr>
          <w:p>
            <w:pPr>
              <w:spacing w:after="0"/>
              <w:rPr>
                <w:sz w:val="20"/>
                <w:szCs w:val="20"/>
                <w:color w:val="auto"/>
              </w:rPr>
            </w:pPr>
            <w:r>
              <w:rPr>
                <w:rFonts w:ascii="Arial" w:cs="Arial" w:eastAsia="Arial" w:hAnsi="Arial"/>
                <w:sz w:val="18"/>
                <w:szCs w:val="18"/>
                <w:color w:val="auto"/>
                <w:w w:val="97"/>
              </w:rPr>
              <w:t>Rustem Limited represented by Shanica Maduro-</w:t>
            </w:r>
          </w:p>
        </w:tc>
      </w:tr>
      <w:tr>
        <w:trPr>
          <w:trHeight w:val="216"/>
        </w:trPr>
        <w:tc>
          <w:tcPr>
            <w:tcW w:w="56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Christopher and Joanne Turnbull</w:t>
            </w:r>
          </w:p>
        </w:tc>
      </w:t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Title:</w:t>
            </w:r>
          </w:p>
        </w:tc>
        <w:tc>
          <w:tcPr>
            <w:tcW w:w="3840" w:type="dxa"/>
            <w:vAlign w:val="bottom"/>
          </w:tcPr>
          <w:p>
            <w:pPr>
              <w:spacing w:after="0"/>
              <w:rPr>
                <w:sz w:val="20"/>
                <w:szCs w:val="20"/>
                <w:color w:val="auto"/>
              </w:rPr>
            </w:pPr>
            <w:r>
              <w:rPr>
                <w:rFonts w:ascii="Arial" w:cs="Arial" w:eastAsia="Arial" w:hAnsi="Arial"/>
                <w:sz w:val="18"/>
                <w:szCs w:val="18"/>
                <w:color w:val="auto"/>
              </w:rPr>
              <w:t>Authorized Signatories</w:t>
            </w:r>
          </w:p>
        </w:tc>
      </w:tr>
    </w:tbl>
    <w:p>
      <w:pPr>
        <w:spacing w:after="0" w:line="19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Traveler Enterprise Limited</w:t>
      </w:r>
    </w:p>
    <w:p>
      <w:pPr>
        <w:spacing w:after="0" w:line="229" w:lineRule="exact"/>
        <w:rPr>
          <w:sz w:val="20"/>
          <w:szCs w:val="20"/>
          <w:color w:val="auto"/>
        </w:rPr>
      </w:pPr>
    </w:p>
    <w:p>
      <w:pPr>
        <w:ind w:left="6620"/>
        <w:spacing w:after="0"/>
        <w:tabs>
          <w:tab w:leader="none" w:pos="71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4558030</wp:posOffset>
            </wp:positionH>
            <wp:positionV relativeFrom="paragraph">
              <wp:posOffset>14605</wp:posOffset>
            </wp:positionV>
            <wp:extent cx="243459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43459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60" w:val="left"/>
        </w:tabs>
        <w:rPr>
          <w:sz w:val="20"/>
          <w:szCs w:val="20"/>
          <w:color w:val="auto"/>
        </w:rPr>
      </w:pPr>
      <w:r>
        <w:rPr>
          <w:rFonts w:ascii="Arial" w:cs="Arial" w:eastAsia="Arial" w:hAnsi="Arial"/>
          <w:sz w:val="18"/>
          <w:szCs w:val="18"/>
          <w:color w:val="auto"/>
        </w:rPr>
        <w:t>Title:</w:t>
        <w:tab/>
        <w:t>Authorized Signatory</w:t>
      </w:r>
    </w:p>
    <w:sectPr>
      <w:pgSz w:w="11900" w:h="16838" w:orient="portrait"/>
      <w:cols w:equalWidth="0" w:num="1">
        <w:col w:w="11020"/>
      </w:cols>
      <w:pgMar w:left="440" w:top="274" w:right="4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31BD7B7"/>
    <w:multiLevelType w:val="hybridMultilevel"/>
    <w:lvl w:ilvl="0">
      <w:lvlJc w:val="left"/>
      <w:lvlText w:val="☐"/>
      <w:numFmt w:val="bullet"/>
      <w:start w:val="1"/>
    </w:lvl>
  </w:abstractNum>
  <w:abstractNum w:abstractNumId="1">
    <w:nsid w:val="3F2DBA31"/>
    <w:multiLevelType w:val="hybridMultilevel"/>
    <w:lvl w:ilvl="0">
      <w:lvlJc w:val="left"/>
      <w:lvlText w:val="*"/>
      <w:numFmt w:val="bullet"/>
      <w:start w:val="1"/>
    </w:lvl>
    <w:lvl w:ilvl="1">
      <w:lvlJc w:val="left"/>
      <w:lvlText w:val="☒"/>
      <w:numFmt w:val="bullet"/>
      <w:start w:val="1"/>
    </w:lvl>
  </w:abstractNum>
  <w:abstractNum w:abstractNumId="2">
    <w:nsid w:val="7C83E458"/>
    <w:multiLevelType w:val="hybridMultilevel"/>
    <w:lvl w:ilvl="0">
      <w:lvlJc w:val="left"/>
      <w:lvlText w:val="(%1)"/>
      <w:numFmt w:val="decimal"/>
      <w:start w:val="1"/>
    </w:lvl>
  </w:abstractNum>
  <w:abstractNum w:abstractNumId="3">
    <w:nsid w:val="257130A3"/>
    <w:multiLevelType w:val="hybridMultilevel"/>
    <w:lvl w:ilvl="0">
      <w:lvlJc w:val="left"/>
      <w:lvlText w:val="1"/>
      <w:numFmt w:val="bullet"/>
      <w:start w:val="1"/>
    </w:lvl>
  </w:abstractNum>
  <w:abstractNum w:abstractNumId="4">
    <w:nsid w:val="62BBD95A"/>
    <w:multiLevelType w:val="hybridMultilevel"/>
    <w:lvl w:ilvl="0">
      <w:lvlJc w:val="left"/>
      <w:lvlText w:val="2"/>
      <w:numFmt w:val="bullet"/>
      <w:start w:val="1"/>
    </w:lvl>
  </w:abstractNum>
  <w:abstractNum w:abstractNumId="5">
    <w:nsid w:val="436C6125"/>
    <w:multiLevelType w:val="hybridMultilevel"/>
    <w:lvl w:ilvl="0">
      <w:lvlJc w:val="left"/>
      <w:lvlText w:val="3"/>
      <w:numFmt w:val="bullet"/>
      <w:start w:val="1"/>
    </w:lvl>
  </w:abstractNum>
  <w:abstractNum w:abstractNumId="6">
    <w:nsid w:val="628C895D"/>
    <w:multiLevelType w:val="hybridMultilevel"/>
    <w:lvl w:ilvl="0">
      <w:lvlJc w:val="left"/>
      <w:lvlText w:val="4"/>
      <w:numFmt w:val="bullet"/>
      <w:start w:val="1"/>
    </w:lvl>
  </w:abstractNum>
  <w:abstractNum w:abstractNumId="7">
    <w:nsid w:val="333AB105"/>
    <w:multiLevelType w:val="hybridMultilevel"/>
    <w:lvl w:ilvl="0">
      <w:lvlJc w:val="left"/>
      <w:lvlText w:val="9"/>
      <w:numFmt w:val="bullet"/>
      <w:start w:val="1"/>
    </w:lvl>
  </w:abstractNum>
  <w:abstractNum w:abstractNumId="8">
    <w:nsid w:val="721DA317"/>
    <w:multiLevelType w:val="hybridMultilevel"/>
    <w:lvl w:ilvl="0">
      <w:lvlJc w:val="left"/>
      <w:lvlText w:val="%1"/>
      <w:numFmt w:val="decimal"/>
      <w:start w:val="1"/>
    </w:lvl>
    <w:lvl w:ilvl="1">
      <w:lvlJc w:val="left"/>
      <w:lvlText w:val="%2"/>
      <w:numFmt w:val="decimal"/>
      <w:start w:val="10"/>
    </w:lvl>
  </w:abstractNum>
  <w:abstractNum w:abstractNumId="9">
    <w:nsid w:val="2443A858"/>
    <w:multiLevelType w:val="hybridMultilevel"/>
    <w:lvl w:ilvl="0">
      <w:lvlJc w:val="left"/>
      <w:lvlText w:val="(%1)"/>
      <w:numFmt w:val="decimal"/>
      <w:start w:val="1"/>
    </w:lvl>
    <w:lvl w:ilvl="1">
      <w:lvlJc w:val="left"/>
      <w:lvlText w:val="%2"/>
      <w:numFmt w:val="decimal"/>
      <w:start w:val="1"/>
    </w:lvl>
  </w:abstractNum>
  <w:abstractNum w:abstractNumId="10">
    <w:nsid w:val="2D1D5AE9"/>
    <w:multiLevelType w:val="hybridMultilevel"/>
    <w:lvl w:ilvl="0">
      <w:lvlJc w:val="left"/>
      <w:lvlText w:val="1"/>
      <w:numFmt w:val="bullet"/>
      <w:start w:val="1"/>
    </w:lvl>
  </w:abstractNum>
  <w:abstractNum w:abstractNumId="11">
    <w:nsid w:val="6763845E"/>
    <w:multiLevelType w:val="hybridMultilevel"/>
    <w:lvl w:ilvl="0">
      <w:lvlJc w:val="left"/>
      <w:lvlText w:val="2"/>
      <w:numFmt w:val="bullet"/>
      <w:start w:val="1"/>
    </w:lvl>
  </w:abstractNum>
  <w:abstractNum w:abstractNumId="12">
    <w:nsid w:val="75A2A8D4"/>
    <w:multiLevelType w:val="hybridMultilevel"/>
    <w:lvl w:ilvl="0">
      <w:lvlJc w:val="left"/>
      <w:lvlText w:val="3"/>
      <w:numFmt w:val="bullet"/>
      <w:start w:val="1"/>
    </w:lvl>
  </w:abstractNum>
  <w:abstractNum w:abstractNumId="13">
    <w:nsid w:val="8EDBDAB"/>
    <w:multiLevelType w:val="hybridMultilevel"/>
    <w:lvl w:ilvl="0">
      <w:lvlJc w:val="left"/>
      <w:lvlText w:val="4"/>
      <w:numFmt w:val="bullet"/>
      <w:start w:val="1"/>
    </w:lvl>
  </w:abstractNum>
  <w:abstractNum w:abstractNumId="14">
    <w:nsid w:val="79838CB2"/>
    <w:multiLevelType w:val="hybridMultilevel"/>
    <w:lvl w:ilvl="0">
      <w:lvlJc w:val="left"/>
      <w:lvlText w:val="9"/>
      <w:numFmt w:val="bullet"/>
      <w:start w:val="1"/>
    </w:lvl>
  </w:abstractNum>
  <w:abstractNum w:abstractNumId="15">
    <w:nsid w:val="4353D0CD"/>
    <w:multiLevelType w:val="hybridMultilevel"/>
    <w:lvl w:ilvl="0">
      <w:lvlJc w:val="left"/>
      <w:lvlText w:val="%1"/>
      <w:numFmt w:val="decimal"/>
      <w:start w:val="1"/>
    </w:lvl>
    <w:lvl w:ilvl="1">
      <w:lvlJc w:val="left"/>
      <w:lvlText w:val="%2"/>
      <w:numFmt w:val="decimal"/>
      <w:start w:val="10"/>
    </w:lvl>
  </w:abstractNum>
  <w:abstractNum w:abstractNumId="16">
    <w:nsid w:val="B03E0C6"/>
    <w:multiLevelType w:val="hybridMultilevel"/>
    <w:lvl w:ilvl="0">
      <w:lvlJc w:val="left"/>
      <w:lvlText w:val="(%1)"/>
      <w:numFmt w:val="decimal"/>
      <w:start w:val="1"/>
    </w:lvl>
    <w:lvl w:ilvl="1">
      <w:lvlJc w:val="left"/>
      <w:lvlText w:val="%2"/>
      <w:numFmt w:val="decimal"/>
      <w:start w:val="1"/>
    </w:lvl>
  </w:abstractNum>
  <w:abstractNum w:abstractNumId="17">
    <w:nsid w:val="189A769B"/>
    <w:multiLevelType w:val="hybridMultilevel"/>
    <w:lvl w:ilvl="0">
      <w:lvlJc w:val="left"/>
      <w:lvlText w:val="1"/>
      <w:numFmt w:val="bullet"/>
      <w:start w:val="1"/>
    </w:lvl>
  </w:abstractNum>
  <w:abstractNum w:abstractNumId="18">
    <w:nsid w:val="54E49EB4"/>
    <w:multiLevelType w:val="hybridMultilevel"/>
    <w:lvl w:ilvl="0">
      <w:lvlJc w:val="left"/>
      <w:lvlText w:val="2"/>
      <w:numFmt w:val="bullet"/>
      <w:start w:val="1"/>
    </w:lvl>
  </w:abstractNum>
  <w:abstractNum w:abstractNumId="19">
    <w:nsid w:val="71F32454"/>
    <w:multiLevelType w:val="hybridMultilevel"/>
    <w:lvl w:ilvl="0">
      <w:lvlJc w:val="left"/>
      <w:lvlText w:val="3"/>
      <w:numFmt w:val="bullet"/>
      <w:start w:val="1"/>
    </w:lvl>
  </w:abstractNum>
  <w:abstractNum w:abstractNumId="20">
    <w:nsid w:val="2CA88611"/>
    <w:multiLevelType w:val="hybridMultilevel"/>
    <w:lvl w:ilvl="0">
      <w:lvlJc w:val="left"/>
      <w:lvlText w:val="4"/>
      <w:numFmt w:val="bullet"/>
      <w:start w:val="1"/>
    </w:lvl>
  </w:abstractNum>
  <w:abstractNum w:abstractNumId="21">
    <w:nsid w:val="836C40E"/>
    <w:multiLevelType w:val="hybridMultilevel"/>
    <w:lvl w:ilvl="0">
      <w:lvlJc w:val="left"/>
      <w:lvlText w:val="9"/>
      <w:numFmt w:val="bullet"/>
      <w:start w:val="1"/>
    </w:lvl>
  </w:abstractNum>
  <w:abstractNum w:abstractNumId="22">
    <w:nsid w:val="2901D82"/>
    <w:multiLevelType w:val="hybridMultilevel"/>
    <w:lvl w:ilvl="0">
      <w:lvlJc w:val="left"/>
      <w:lvlText w:val="%1"/>
      <w:numFmt w:val="decimal"/>
      <w:start w:val="1"/>
    </w:lvl>
    <w:lvl w:ilvl="1">
      <w:lvlJc w:val="left"/>
      <w:lvlText w:val="%2"/>
      <w:numFmt w:val="decimal"/>
      <w:start w:val="10"/>
    </w:lvl>
  </w:abstractNum>
  <w:abstractNum w:abstractNumId="23">
    <w:nsid w:val="3A95F874"/>
    <w:multiLevelType w:val="hybridMultilevel"/>
    <w:lvl w:ilvl="0">
      <w:lvlJc w:val="left"/>
      <w:lvlText w:val="(%1)"/>
      <w:numFmt w:val="decimal"/>
      <w:start w:val="1"/>
    </w:lvl>
    <w:lvl w:ilvl="1">
      <w:lvlJc w:val="left"/>
      <w:lvlText w:val="%2"/>
      <w:numFmt w:val="decimal"/>
      <w:start w:val="1"/>
    </w:lvl>
  </w:abstractNum>
  <w:abstractNum w:abstractNumId="24">
    <w:nsid w:val="8138641"/>
    <w:multiLevelType w:val="hybridMultilevel"/>
    <w:lvl w:ilvl="0">
      <w:lvlJc w:val="left"/>
      <w:lvlText w:val="1"/>
      <w:numFmt w:val="bullet"/>
      <w:start w:val="1"/>
    </w:lvl>
  </w:abstractNum>
  <w:abstractNum w:abstractNumId="25">
    <w:nsid w:val="1E7FF521"/>
    <w:multiLevelType w:val="hybridMultilevel"/>
    <w:lvl w:ilvl="0">
      <w:lvlJc w:val="left"/>
      <w:lvlText w:val="2"/>
      <w:numFmt w:val="bullet"/>
      <w:start w:val="1"/>
    </w:lvl>
  </w:abstractNum>
  <w:abstractNum w:abstractNumId="26">
    <w:nsid w:val="7C3DBD3D"/>
    <w:multiLevelType w:val="hybridMultilevel"/>
    <w:lvl w:ilvl="0">
      <w:lvlJc w:val="left"/>
      <w:lvlText w:val="3"/>
      <w:numFmt w:val="bullet"/>
      <w:start w:val="1"/>
    </w:lvl>
  </w:abstractNum>
  <w:abstractNum w:abstractNumId="27">
    <w:nsid w:val="737B8DDC"/>
    <w:multiLevelType w:val="hybridMultilevel"/>
    <w:lvl w:ilvl="0">
      <w:lvlJc w:val="left"/>
      <w:lvlText w:val="4"/>
      <w:numFmt w:val="bullet"/>
      <w:start w:val="1"/>
    </w:lvl>
  </w:abstractNum>
  <w:abstractNum w:abstractNumId="28">
    <w:nsid w:val="6CEAF087"/>
    <w:multiLevelType w:val="hybridMultilevel"/>
    <w:lvl w:ilvl="0">
      <w:lvlJc w:val="left"/>
      <w:lvlText w:val="9"/>
      <w:numFmt w:val="bullet"/>
      <w:start w:val="1"/>
    </w:lvl>
  </w:abstractNum>
  <w:abstractNum w:abstractNumId="29">
    <w:nsid w:val="22221A70"/>
    <w:multiLevelType w:val="hybridMultilevel"/>
    <w:lvl w:ilvl="0">
      <w:lvlJc w:val="left"/>
      <w:lvlText w:val="%1"/>
      <w:numFmt w:val="decimal"/>
      <w:start w:val="1"/>
    </w:lvl>
    <w:lvl w:ilvl="1">
      <w:lvlJc w:val="left"/>
      <w:lvlText w:val="%2"/>
      <w:numFmt w:val="decimal"/>
      <w:start w:val="10"/>
    </w:lvl>
  </w:abstractNum>
  <w:abstractNum w:abstractNumId="30">
    <w:nsid w:val="4516DDE9"/>
    <w:multiLevelType w:val="hybridMultilevel"/>
    <w:lvl w:ilvl="0">
      <w:lvlJc w:val="left"/>
      <w:lvlText w:val="(%1)"/>
      <w:numFmt w:val="decimal"/>
      <w:start w:val="1"/>
    </w:lvl>
    <w:lvl w:ilvl="1">
      <w:lvlJc w:val="left"/>
      <w:lvlText w:val="%2"/>
      <w:numFmt w:val="decimal"/>
      <w:start w:val="1"/>
    </w:lvl>
  </w:abstractNum>
  <w:abstractNum w:abstractNumId="31">
    <w:nsid w:val="3006C83E"/>
    <w:multiLevelType w:val="hybridMultilevel"/>
    <w:lvl w:ilvl="0">
      <w:lvlJc w:val="left"/>
      <w:lvlText w:val="(%1)"/>
      <w:numFmt w:val="lowerLetter"/>
      <w:start w:val="1"/>
    </w:lvl>
  </w:abstractNum>
  <w:abstractNum w:abstractNumId="32">
    <w:nsid w:val="614FD4A1"/>
    <w:multiLevelType w:val="hybridMultilevel"/>
    <w:lvl w:ilvl="0">
      <w:lvlJc w:val="left"/>
      <w:lvlText w:val="(%1)"/>
      <w:numFmt w:val="lowerLetter"/>
      <w:start w:val="1"/>
    </w:lvl>
    <w:lvl w:ilvl="1">
      <w:lvlJc w:val="left"/>
      <w:lvlText w:val="(%2)"/>
      <w:numFmt w:val="lowerRoman"/>
      <w:start w:val="1"/>
    </w:lvl>
  </w:abstractNum>
  <w:abstractNum w:abstractNumId="33">
    <w:nsid w:val="419AC241"/>
    <w:multiLevelType w:val="hybridMultilevel"/>
    <w:lvl w:ilvl="0">
      <w:lvlJc w:val="left"/>
      <w:lvlText w:val="*"/>
      <w:numFmt w:val="bullet"/>
      <w:start w:val="1"/>
    </w:lvl>
  </w:abstractNum>
  <w:abstractNum w:abstractNumId="34">
    <w:nsid w:val="5577F8E1"/>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2022-02-14T15:49:46Z</dcterms:created>
  <dcterms:modified xsi:type="dcterms:W3CDTF">2022-02-14T15:49:46Z</dcterms:modified>
</cp:coreProperties>
</file>